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39" w:rsidRPr="00DA7131" w:rsidRDefault="00632D39" w:rsidP="00D659B9">
      <w:pPr>
        <w:spacing w:after="0"/>
        <w:jc w:val="both"/>
        <w:rPr>
          <w:rFonts w:ascii="Sylfaen" w:hAnsi="Sylfaen" w:cs="Sylfaen"/>
          <w:i/>
          <w:sz w:val="24"/>
          <w:lang w:val="ka-GE"/>
        </w:rPr>
      </w:pPr>
    </w:p>
    <w:p w:rsidR="005705C5" w:rsidRPr="00DA7131" w:rsidRDefault="00042B60" w:rsidP="00D659B9">
      <w:pPr>
        <w:pStyle w:val="ListParagraph"/>
        <w:numPr>
          <w:ilvl w:val="0"/>
          <w:numId w:val="3"/>
        </w:numPr>
        <w:jc w:val="both"/>
        <w:rPr>
          <w:rFonts w:ascii="Sylfaen" w:hAnsi="Sylfaen"/>
          <w:b/>
          <w:sz w:val="24"/>
          <w:u w:val="single"/>
          <w:lang w:val="ka-GE"/>
        </w:rPr>
      </w:pPr>
      <w:r w:rsidRPr="00DA7131">
        <w:rPr>
          <w:rFonts w:ascii="Sylfaen" w:hAnsi="Sylfaen"/>
          <w:b/>
          <w:sz w:val="24"/>
          <w:u w:val="single"/>
          <w:lang w:val="ka-GE"/>
        </w:rPr>
        <w:t xml:space="preserve"> </w:t>
      </w:r>
      <w:r w:rsidR="005705C5" w:rsidRPr="00DA7131">
        <w:rPr>
          <w:rFonts w:ascii="Sylfaen" w:hAnsi="Sylfaen"/>
          <w:b/>
          <w:sz w:val="24"/>
          <w:u w:val="single"/>
          <w:lang w:val="ka-GE"/>
        </w:rPr>
        <w:t>ეპიდსიტუაცია</w:t>
      </w:r>
    </w:p>
    <w:p w:rsidR="005705C5" w:rsidRPr="00DA7131" w:rsidRDefault="005705C5" w:rsidP="00D659B9">
      <w:pPr>
        <w:jc w:val="both"/>
        <w:rPr>
          <w:rFonts w:ascii="Sylfaen" w:hAnsi="Sylfaen"/>
          <w:b/>
          <w:sz w:val="24"/>
          <w:u w:val="single"/>
          <w:lang w:val="ka-GE"/>
        </w:rPr>
      </w:pPr>
    </w:p>
    <w:p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rsidR="00C745FA" w:rsidRPr="00DA7131" w:rsidRDefault="00F527BA" w:rsidP="00D659B9">
      <w:pPr>
        <w:jc w:val="both"/>
        <w:rPr>
          <w:rFonts w:ascii="Sylfaen" w:hAnsi="Sylfaen"/>
          <w:sz w:val="24"/>
          <w:lang w:val="ka-GE"/>
        </w:rPr>
      </w:pPr>
      <w:r>
        <w:rPr>
          <w:rFonts w:ascii="Sylfaen" w:hAnsi="Sylfaen"/>
          <w:sz w:val="24"/>
        </w:rPr>
        <w:t>2</w:t>
      </w:r>
      <w:r w:rsidR="004D34D5">
        <w:rPr>
          <w:rFonts w:ascii="Sylfaen" w:hAnsi="Sylfaen"/>
          <w:sz w:val="24"/>
        </w:rPr>
        <w:t>5</w:t>
      </w:r>
      <w:r w:rsidR="005B01D8" w:rsidRPr="00DA7131">
        <w:rPr>
          <w:rFonts w:ascii="Sylfaen" w:hAnsi="Sylfaen"/>
          <w:sz w:val="24"/>
          <w:lang w:val="ka-GE"/>
        </w:rPr>
        <w:t xml:space="preserve"> </w:t>
      </w:r>
      <w:r w:rsidR="00632D39" w:rsidRPr="00DA7131">
        <w:rPr>
          <w:rFonts w:ascii="Sylfaen" w:hAnsi="Sylfaen"/>
          <w:sz w:val="24"/>
          <w:lang w:val="ka-GE"/>
        </w:rPr>
        <w:t>მარტის</w:t>
      </w:r>
      <w:r w:rsidR="00BE1603" w:rsidRPr="00DA7131">
        <w:rPr>
          <w:rFonts w:ascii="Sylfaen" w:hAnsi="Sylfaen"/>
          <w:sz w:val="24"/>
        </w:rPr>
        <w:t xml:space="preserve"> </w:t>
      </w:r>
      <w:r w:rsidR="00BE1603" w:rsidRPr="00DA7131">
        <w:rPr>
          <w:rFonts w:ascii="Sylfaen" w:hAnsi="Sylfaen"/>
          <w:sz w:val="24"/>
          <w:lang w:val="ka-GE"/>
        </w:rPr>
        <w:t xml:space="preserve">მონაცემებით (ბოლო 24 საათი) </w:t>
      </w:r>
      <w:r w:rsidR="00632D39" w:rsidRPr="00DA7131">
        <w:rPr>
          <w:rFonts w:ascii="Sylfaen" w:hAnsi="Sylfaen"/>
          <w:sz w:val="24"/>
          <w:lang w:val="ka-GE"/>
        </w:rPr>
        <w:t xml:space="preserve"> ლუგარში შევიდა </w:t>
      </w:r>
      <w:r w:rsidR="002B017E">
        <w:rPr>
          <w:rFonts w:ascii="Sylfaen" w:hAnsi="Sylfaen"/>
          <w:b/>
          <w:sz w:val="24"/>
          <w:u w:val="single"/>
        </w:rPr>
        <w:t xml:space="preserve">86 </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2B017E">
        <w:rPr>
          <w:rFonts w:ascii="Sylfaen" w:hAnsi="Sylfaen"/>
          <w:b/>
          <w:sz w:val="24"/>
          <w:u w:val="single"/>
          <w:lang w:val="ka-GE"/>
        </w:rPr>
        <w:t xml:space="preserve">9 </w:t>
      </w:r>
      <w:r w:rsidR="001F50D3" w:rsidRPr="00DA7131">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57782F">
        <w:rPr>
          <w:rFonts w:ascii="Sylfaen" w:hAnsi="Sylfaen"/>
          <w:b/>
          <w:sz w:val="24"/>
          <w:u w:val="single"/>
        </w:rPr>
        <w:t>10</w:t>
      </w:r>
      <w:r w:rsidR="00A761A1" w:rsidRPr="00DA7131">
        <w:rPr>
          <w:rFonts w:ascii="Sylfaen" w:hAnsi="Sylfaen"/>
          <w:b/>
          <w:sz w:val="24"/>
          <w:u w:val="single"/>
        </w:rPr>
        <w:t xml:space="preserve"> </w:t>
      </w:r>
      <w:r w:rsidR="00B42A45" w:rsidRPr="00DA7131">
        <w:rPr>
          <w:rFonts w:ascii="Sylfaen" w:hAnsi="Sylfaen"/>
          <w:sz w:val="24"/>
        </w:rPr>
        <w:t>,</w:t>
      </w:r>
      <w:r w:rsidR="00B42A45" w:rsidRPr="00DA7131">
        <w:rPr>
          <w:rFonts w:ascii="Sylfaen" w:hAnsi="Sylfaen"/>
          <w:sz w:val="24"/>
          <w:lang w:val="ka-GE"/>
        </w:rPr>
        <w:t xml:space="preserve">ცენტრალური ინფექციური საავადმყოფო </w:t>
      </w:r>
      <w:r w:rsidR="002B017E">
        <w:rPr>
          <w:rFonts w:ascii="Sylfaen" w:hAnsi="Sylfaen"/>
          <w:b/>
          <w:sz w:val="24"/>
          <w:u w:val="single"/>
        </w:rPr>
        <w:t>16</w:t>
      </w:r>
      <w:r w:rsidR="00B42A45" w:rsidRPr="00DA7131">
        <w:rPr>
          <w:rFonts w:ascii="Sylfaen" w:hAnsi="Sylfaen"/>
          <w:sz w:val="24"/>
          <w:lang w:val="ka-GE"/>
        </w:rPr>
        <w:t xml:space="preserve"> </w:t>
      </w:r>
      <w:r w:rsidR="001F50D3" w:rsidRPr="00DA7131">
        <w:rPr>
          <w:rFonts w:ascii="Sylfaen" w:hAnsi="Sylfaen"/>
          <w:sz w:val="24"/>
          <w:lang w:val="ka-GE"/>
        </w:rPr>
        <w:t xml:space="preserve">შესაძლო შემთხვევის ნიმუში, სულ </w:t>
      </w:r>
      <w:r w:rsidR="00BA4D43">
        <w:rPr>
          <w:rFonts w:ascii="Sylfaen" w:hAnsi="Sylfaen"/>
          <w:b/>
          <w:sz w:val="24"/>
          <w:u w:val="single"/>
        </w:rPr>
        <w:t>1</w:t>
      </w:r>
      <w:r w:rsidR="002B017E">
        <w:rPr>
          <w:rFonts w:ascii="Sylfaen" w:hAnsi="Sylfaen"/>
          <w:b/>
          <w:sz w:val="24"/>
          <w:u w:val="single"/>
          <w:lang w:val="ka-GE"/>
        </w:rPr>
        <w:t>21</w:t>
      </w:r>
      <w:r w:rsidR="001F50D3" w:rsidRPr="00DA7131">
        <w:rPr>
          <w:rFonts w:ascii="Sylfaen" w:hAnsi="Sylfaen"/>
          <w:b/>
          <w:sz w:val="24"/>
          <w:u w:val="single"/>
          <w:lang w:val="ka-GE"/>
        </w:rPr>
        <w:t>.</w:t>
      </w:r>
      <w:r w:rsidR="001F50D3" w:rsidRPr="00DA7131">
        <w:rPr>
          <w:rFonts w:ascii="Sylfaen" w:hAnsi="Sylfaen"/>
          <w:sz w:val="24"/>
          <w:lang w:val="ka-GE"/>
        </w:rPr>
        <w:t xml:space="preserve"> </w:t>
      </w:r>
    </w:p>
    <w:p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C92A28">
        <w:rPr>
          <w:rFonts w:ascii="Sylfaen" w:hAnsi="Sylfaen"/>
          <w:b/>
          <w:sz w:val="24"/>
          <w:u w:val="single"/>
        </w:rPr>
        <w:t xml:space="preserve">1 </w:t>
      </w:r>
      <w:r w:rsidR="002B017E">
        <w:rPr>
          <w:rFonts w:ascii="Sylfaen" w:hAnsi="Sylfaen"/>
          <w:b/>
          <w:sz w:val="24"/>
          <w:u w:val="single"/>
          <w:lang w:val="ka-GE"/>
        </w:rPr>
        <w:t>523</w:t>
      </w:r>
      <w:r w:rsidR="00761CC8" w:rsidRPr="00DA713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r w:rsidR="00BA4D43">
        <w:rPr>
          <w:rFonts w:ascii="Sylfaen" w:hAnsi="Sylfaen"/>
          <w:sz w:val="24"/>
          <w:lang w:val="ka-GE"/>
        </w:rPr>
        <w:t>(23 რჩება კვლევაში)</w:t>
      </w:r>
    </w:p>
    <w:p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2B017E">
        <w:rPr>
          <w:rFonts w:ascii="Sylfaen" w:hAnsi="Sylfaen"/>
          <w:b/>
          <w:sz w:val="24"/>
          <w:u w:val="single"/>
          <w:lang w:val="ka-GE"/>
        </w:rPr>
        <w:t xml:space="preserve">1 639 </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rsidR="00615C80" w:rsidRDefault="00805C2F" w:rsidP="00D659B9">
      <w:pPr>
        <w:jc w:val="both"/>
        <w:rPr>
          <w:rFonts w:ascii="Sylfaen" w:hAnsi="Sylfaen"/>
          <w:sz w:val="24"/>
          <w:lang w:val="ka-GE"/>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2B017E">
        <w:rPr>
          <w:rFonts w:ascii="Sylfaen" w:hAnsi="Sylfaen"/>
          <w:b/>
          <w:sz w:val="24"/>
          <w:lang w:val="ka-GE"/>
        </w:rPr>
        <w:t>73</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აქედან ორი უკავშირდება ირანში მოგზაურობას, </w:t>
      </w:r>
      <w:r w:rsidR="00EC2D3B" w:rsidRPr="00DA7131">
        <w:rPr>
          <w:rFonts w:ascii="Sylfaen" w:hAnsi="Sylfaen"/>
          <w:sz w:val="24"/>
          <w:lang w:val="ka-GE"/>
        </w:rPr>
        <w:t>ერთი ესპანე</w:t>
      </w:r>
      <w:r w:rsidR="00101D27" w:rsidRPr="00DA7131">
        <w:rPr>
          <w:rFonts w:ascii="Sylfaen" w:hAnsi="Sylfaen"/>
          <w:sz w:val="24"/>
          <w:lang w:val="ka-GE"/>
        </w:rPr>
        <w:t>თ</w:t>
      </w:r>
      <w:r w:rsidR="00EC2D3B" w:rsidRPr="00DA7131">
        <w:rPr>
          <w:rFonts w:ascii="Sylfaen" w:hAnsi="Sylfaen"/>
          <w:sz w:val="24"/>
          <w:lang w:val="ka-GE"/>
        </w:rPr>
        <w:t xml:space="preserve">ში მოგზაურობას, </w:t>
      </w:r>
      <w:r w:rsidR="00123C7D" w:rsidRPr="00DA7131">
        <w:rPr>
          <w:rFonts w:ascii="Sylfaen" w:hAnsi="Sylfaen"/>
          <w:sz w:val="24"/>
        </w:rPr>
        <w:t>12</w:t>
      </w:r>
      <w:r w:rsidR="00EC2D3B" w:rsidRPr="00DA7131">
        <w:rPr>
          <w:rFonts w:ascii="Sylfaen" w:hAnsi="Sylfaen"/>
          <w:sz w:val="24"/>
          <w:lang w:val="ka-GE"/>
        </w:rPr>
        <w:t xml:space="preserve"> იტალიაში მოგზაურობას</w:t>
      </w:r>
      <w:r w:rsidR="00123C7D" w:rsidRPr="00DA7131">
        <w:rPr>
          <w:rFonts w:ascii="Sylfaen" w:hAnsi="Sylfaen"/>
          <w:sz w:val="24"/>
          <w:lang w:val="ka-GE"/>
        </w:rPr>
        <w:t>,</w:t>
      </w:r>
      <w:r w:rsidR="00123C7D" w:rsidRPr="00DA7131">
        <w:rPr>
          <w:rFonts w:ascii="Sylfaen" w:hAnsi="Sylfaen"/>
          <w:sz w:val="24"/>
        </w:rPr>
        <w:t xml:space="preserve"> </w:t>
      </w:r>
      <w:r w:rsidR="0057782F">
        <w:rPr>
          <w:rFonts w:ascii="Sylfaen" w:hAnsi="Sylfaen"/>
          <w:sz w:val="24"/>
          <w:lang w:val="ka-GE"/>
        </w:rPr>
        <w:t>1</w:t>
      </w:r>
      <w:r w:rsidR="0057782F">
        <w:rPr>
          <w:rFonts w:ascii="Sylfaen" w:hAnsi="Sylfaen"/>
          <w:sz w:val="24"/>
        </w:rPr>
        <w:t>2</w:t>
      </w:r>
      <w:r w:rsidR="00123C7D" w:rsidRPr="00DA7131">
        <w:rPr>
          <w:rFonts w:ascii="Sylfaen" w:hAnsi="Sylfaen"/>
          <w:sz w:val="24"/>
          <w:lang w:val="ka-GE"/>
        </w:rPr>
        <w:t xml:space="preserve">  </w:t>
      </w:r>
      <w:r w:rsidR="00EC2D3B" w:rsidRPr="00DA7131">
        <w:rPr>
          <w:rFonts w:ascii="Sylfaen" w:hAnsi="Sylfaen"/>
          <w:sz w:val="24"/>
          <w:lang w:val="ka-GE"/>
        </w:rPr>
        <w:t xml:space="preserve">დადასტურებულ შემთხვევასთან </w:t>
      </w:r>
      <w:r w:rsidR="00123C7D" w:rsidRPr="00DA7131">
        <w:rPr>
          <w:rFonts w:ascii="Sylfaen" w:hAnsi="Sylfaen"/>
          <w:sz w:val="24"/>
          <w:lang w:val="ka-GE"/>
        </w:rPr>
        <w:t>კონტაქტს</w:t>
      </w:r>
      <w:r w:rsidR="00CF0E0A" w:rsidRPr="00DA7131">
        <w:rPr>
          <w:rFonts w:ascii="Sylfaen" w:hAnsi="Sylfaen"/>
          <w:sz w:val="24"/>
          <w:lang w:val="ka-GE"/>
        </w:rPr>
        <w:t>, 5 დადასტურებულ შემთხვევასთან კონტაქტის კონტაქტები</w:t>
      </w:r>
      <w:r w:rsidR="00C60474" w:rsidRPr="00DA7131">
        <w:rPr>
          <w:rFonts w:ascii="Sylfaen" w:hAnsi="Sylfaen"/>
          <w:sz w:val="24"/>
          <w:lang w:val="ka-GE"/>
        </w:rPr>
        <w:t>, 1 თვითმიმართვით, რომელსაც კონტაქტი ჰქონდა სხვადასხვა ქვეყნის წარმომადგენლებთან</w:t>
      </w:r>
      <w:r w:rsidR="00101D27" w:rsidRPr="00DA7131">
        <w:rPr>
          <w:rFonts w:ascii="Sylfaen" w:hAnsi="Sylfaen"/>
          <w:sz w:val="24"/>
          <w:lang w:val="ka-GE"/>
        </w:rPr>
        <w:t xml:space="preserve"> და </w:t>
      </w:r>
      <w:r w:rsidR="00DA7131">
        <w:rPr>
          <w:rFonts w:ascii="Sylfaen" w:hAnsi="Sylfaen"/>
          <w:sz w:val="24"/>
          <w:lang w:val="ka-GE"/>
        </w:rPr>
        <w:t>7</w:t>
      </w:r>
      <w:r w:rsidR="00101D27" w:rsidRPr="00DA7131">
        <w:rPr>
          <w:rFonts w:ascii="Sylfaen" w:hAnsi="Sylfaen"/>
          <w:sz w:val="24"/>
          <w:lang w:val="ka-GE"/>
        </w:rPr>
        <w:t xml:space="preserve"> უკვე მასთან კონტაქტს</w:t>
      </w:r>
      <w:r w:rsidR="00C60474" w:rsidRPr="00DA7131">
        <w:rPr>
          <w:rFonts w:ascii="Sylfaen" w:hAnsi="Sylfaen"/>
          <w:sz w:val="24"/>
          <w:lang w:val="ka-GE"/>
        </w:rPr>
        <w:t>, 1 ბელგიაში მოგზაურობის ისტორია ( იმყოფებოდა კარანტინში, რადგან საქართველოში ჩამოვიდა საფრანგეთის გავლით)</w:t>
      </w:r>
      <w:r w:rsidR="0009214E" w:rsidRPr="00DA7131">
        <w:rPr>
          <w:rFonts w:ascii="Sylfaen" w:hAnsi="Sylfaen"/>
          <w:sz w:val="24"/>
          <w:lang w:val="ka-GE"/>
        </w:rPr>
        <w:t>,</w:t>
      </w:r>
      <w:r w:rsidR="00C60474" w:rsidRPr="00DA7131">
        <w:rPr>
          <w:rFonts w:ascii="Sylfaen" w:hAnsi="Sylfaen"/>
          <w:sz w:val="24"/>
          <w:lang w:val="ka-GE"/>
        </w:rPr>
        <w:t xml:space="preserve"> 1 </w:t>
      </w:r>
      <w:r w:rsidR="00101D27" w:rsidRPr="00DA7131">
        <w:rPr>
          <w:rFonts w:ascii="Sylfaen" w:hAnsi="Sylfaen"/>
          <w:sz w:val="24"/>
          <w:lang w:val="ka-GE"/>
        </w:rPr>
        <w:t>დად</w:t>
      </w:r>
      <w:r w:rsidR="0009214E" w:rsidRPr="00DA7131">
        <w:rPr>
          <w:rFonts w:ascii="Sylfaen" w:hAnsi="Sylfaen"/>
          <w:sz w:val="24"/>
          <w:lang w:val="ka-GE"/>
        </w:rPr>
        <w:t>ასტურებული შემთხვევა მოგზაურობის ისტორი</w:t>
      </w:r>
      <w:r w:rsidR="00101D27" w:rsidRPr="00DA7131">
        <w:rPr>
          <w:rFonts w:ascii="Sylfaen" w:hAnsi="Sylfaen"/>
          <w:sz w:val="24"/>
          <w:lang w:val="ka-GE"/>
        </w:rPr>
        <w:t>ი</w:t>
      </w:r>
      <w:r w:rsidR="0009214E" w:rsidRPr="00DA7131">
        <w:rPr>
          <w:rFonts w:ascii="Sylfaen" w:hAnsi="Sylfaen"/>
          <w:sz w:val="24"/>
          <w:lang w:val="ka-GE"/>
        </w:rPr>
        <w:t xml:space="preserve">თ </w:t>
      </w:r>
      <w:r w:rsidR="00C60474" w:rsidRPr="00DA7131">
        <w:rPr>
          <w:rFonts w:ascii="Sylfaen" w:hAnsi="Sylfaen"/>
          <w:sz w:val="24"/>
          <w:lang w:val="ka-GE"/>
        </w:rPr>
        <w:t>(ბათუმის კარანტინში მყოფი პირი)</w:t>
      </w:r>
      <w:r w:rsidR="00F527BA">
        <w:rPr>
          <w:rFonts w:ascii="Sylfaen" w:hAnsi="Sylfaen"/>
          <w:sz w:val="24"/>
        </w:rPr>
        <w:t xml:space="preserve">, </w:t>
      </w:r>
      <w:r w:rsidR="00C92A28">
        <w:rPr>
          <w:rFonts w:ascii="Sylfaen" w:hAnsi="Sylfaen"/>
          <w:sz w:val="24"/>
          <w:lang w:val="ka-GE"/>
        </w:rPr>
        <w:t>4</w:t>
      </w:r>
      <w:r w:rsidR="00F527BA">
        <w:rPr>
          <w:rFonts w:ascii="Sylfaen" w:hAnsi="Sylfaen"/>
          <w:sz w:val="24"/>
          <w:lang w:val="ka-GE"/>
        </w:rPr>
        <w:t xml:space="preserve"> </w:t>
      </w:r>
      <w:r w:rsidR="00743B9A">
        <w:rPr>
          <w:rFonts w:ascii="Sylfaen" w:hAnsi="Sylfaen"/>
          <w:sz w:val="24"/>
          <w:lang w:val="ka-GE"/>
        </w:rPr>
        <w:t>დადასტურებული შემთხვევის</w:t>
      </w:r>
      <w:r w:rsidR="00F527BA">
        <w:rPr>
          <w:rFonts w:ascii="Sylfaen" w:hAnsi="Sylfaen"/>
          <w:sz w:val="24"/>
          <w:lang w:val="ka-GE"/>
        </w:rPr>
        <w:t xml:space="preserve"> (ერთი კლასტერი) იმპორტირებული ამერიკიდან</w:t>
      </w:r>
      <w:r w:rsidR="00615C80">
        <w:rPr>
          <w:rFonts w:ascii="Sylfaen" w:hAnsi="Sylfaen"/>
          <w:sz w:val="24"/>
          <w:lang w:val="ka-GE"/>
        </w:rPr>
        <w:t xml:space="preserve">. </w:t>
      </w:r>
      <w:r w:rsidR="0057782F">
        <w:rPr>
          <w:rFonts w:ascii="Sylfaen" w:hAnsi="Sylfaen"/>
          <w:sz w:val="24"/>
        </w:rPr>
        <w:t xml:space="preserve">2 </w:t>
      </w:r>
      <w:r w:rsidR="0057782F">
        <w:rPr>
          <w:rFonts w:ascii="Sylfaen" w:hAnsi="Sylfaen"/>
          <w:sz w:val="24"/>
          <w:lang w:val="ka-GE"/>
        </w:rPr>
        <w:t>ყოფი</w:t>
      </w:r>
      <w:r w:rsidR="00DA1F12">
        <w:rPr>
          <w:rFonts w:ascii="Sylfaen" w:hAnsi="Sylfaen"/>
          <w:sz w:val="24"/>
          <w:lang w:val="ka-GE"/>
        </w:rPr>
        <w:t>ლი</w:t>
      </w:r>
      <w:r w:rsidR="0057782F">
        <w:rPr>
          <w:rFonts w:ascii="Sylfaen" w:hAnsi="Sylfaen"/>
          <w:sz w:val="24"/>
          <w:lang w:val="ka-GE"/>
        </w:rPr>
        <w:t xml:space="preserve"> მოგზაურობის ისტორიით. 1 უცხო ქვეყნის დადასტურებულ შემთხვევასთან კონტაქტი, 1 მარნეულის შემთხვევა</w:t>
      </w:r>
      <w:r w:rsidR="00C92A28">
        <w:rPr>
          <w:rFonts w:ascii="Sylfaen" w:hAnsi="Sylfaen"/>
          <w:sz w:val="24"/>
        </w:rPr>
        <w:t xml:space="preserve"> </w:t>
      </w:r>
      <w:r w:rsidR="00C92A28">
        <w:rPr>
          <w:rFonts w:ascii="Sylfaen" w:hAnsi="Sylfaen"/>
          <w:sz w:val="24"/>
          <w:lang w:val="ka-GE"/>
        </w:rPr>
        <w:t>და მისი 4 კონტაქტი</w:t>
      </w:r>
      <w:r w:rsidR="00DA1F12">
        <w:rPr>
          <w:rFonts w:ascii="Sylfaen" w:hAnsi="Sylfaen"/>
          <w:sz w:val="24"/>
          <w:lang w:val="ka-GE"/>
        </w:rPr>
        <w:t>.</w:t>
      </w:r>
    </w:p>
    <w:p w:rsidR="007776F2" w:rsidRPr="007776F2" w:rsidRDefault="007776F2" w:rsidP="00D659B9">
      <w:pPr>
        <w:jc w:val="both"/>
        <w:rPr>
          <w:rFonts w:ascii="Sylfaen" w:hAnsi="Sylfaen"/>
          <w:sz w:val="24"/>
          <w:lang w:val="ka-GE"/>
        </w:rPr>
      </w:pPr>
      <w:r>
        <w:rPr>
          <w:rFonts w:ascii="Sylfaen" w:hAnsi="Sylfaen"/>
          <w:sz w:val="24"/>
        </w:rPr>
        <w:t>24</w:t>
      </w:r>
      <w:r>
        <w:rPr>
          <w:rFonts w:ascii="Sylfaen" w:hAnsi="Sylfaen"/>
          <w:sz w:val="24"/>
          <w:lang w:val="ka-GE"/>
        </w:rPr>
        <w:t xml:space="preserve"> მარტს დადასტურებულ 6 შემთხვევაზე მიმდინარეობს ღრმა ეპიდკვლევა</w:t>
      </w:r>
      <w:r w:rsidR="00DA1F12">
        <w:rPr>
          <w:rFonts w:ascii="Sylfaen" w:hAnsi="Sylfaen"/>
          <w:sz w:val="24"/>
          <w:lang w:val="ka-GE"/>
        </w:rPr>
        <w:t>.</w:t>
      </w:r>
    </w:p>
    <w:p w:rsidR="00FB2446" w:rsidRPr="0057782F" w:rsidRDefault="00C92A28" w:rsidP="00D659B9">
      <w:pPr>
        <w:jc w:val="both"/>
        <w:rPr>
          <w:rFonts w:ascii="Sylfaen" w:hAnsi="Sylfaen"/>
          <w:sz w:val="24"/>
          <w:lang w:val="ka-GE"/>
        </w:rPr>
      </w:pPr>
      <w:r>
        <w:rPr>
          <w:rFonts w:ascii="Sylfaen" w:hAnsi="Sylfaen"/>
          <w:sz w:val="24"/>
          <w:lang w:val="ka-GE"/>
        </w:rPr>
        <w:t>9</w:t>
      </w:r>
      <w:r w:rsidR="00FB2446">
        <w:rPr>
          <w:rFonts w:ascii="Sylfaen" w:hAnsi="Sylfaen"/>
          <w:sz w:val="24"/>
          <w:lang w:val="ka-GE"/>
        </w:rPr>
        <w:t xml:space="preserve"> ავადმყოფი გამოჯანმრთელდა.</w:t>
      </w:r>
    </w:p>
    <w:p w:rsidR="002E1E14" w:rsidRPr="00DA7131" w:rsidRDefault="00A8417A" w:rsidP="00D659B9">
      <w:pPr>
        <w:jc w:val="both"/>
        <w:rPr>
          <w:rFonts w:ascii="Sylfaen" w:hAnsi="Sylfaen"/>
          <w:sz w:val="24"/>
          <w:lang w:val="ka-GE"/>
        </w:rPr>
      </w:pPr>
      <w:r>
        <w:rPr>
          <w:noProof/>
        </w:rPr>
        <w:drawing>
          <wp:inline distT="0" distB="0" distL="0" distR="0" wp14:anchorId="110476F9" wp14:editId="47DC6B63">
            <wp:extent cx="7018020" cy="3057525"/>
            <wp:effectExtent l="0" t="0" r="1143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7782F" w:rsidRDefault="002B017E" w:rsidP="00B97CB9">
      <w:pPr>
        <w:jc w:val="both"/>
        <w:rPr>
          <w:rFonts w:ascii="Sylfaen" w:hAnsi="Sylfaen"/>
          <w:b/>
          <w:bCs/>
          <w:sz w:val="24"/>
          <w:u w:val="single"/>
        </w:rPr>
      </w:pPr>
      <w:r>
        <w:rPr>
          <w:noProof/>
        </w:rPr>
        <w:lastRenderedPageBreak/>
        <w:drawing>
          <wp:inline distT="0" distB="0" distL="0" distR="0" wp14:anchorId="6E45BFA6" wp14:editId="04D62BE9">
            <wp:extent cx="7038975" cy="4448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03F1" w:rsidRDefault="008003F1" w:rsidP="00B97CB9">
      <w:pPr>
        <w:jc w:val="both"/>
        <w:rPr>
          <w:rFonts w:ascii="Sylfaen" w:hAnsi="Sylfaen"/>
          <w:b/>
          <w:bCs/>
          <w:sz w:val="24"/>
          <w:u w:val="single"/>
        </w:rPr>
      </w:pPr>
    </w:p>
    <w:tbl>
      <w:tblPr>
        <w:tblpPr w:leftFromText="180" w:rightFromText="180" w:vertAnchor="text" w:tblpY="50"/>
        <w:tblW w:w="11109" w:type="dxa"/>
        <w:tblLayout w:type="fixed"/>
        <w:tblLook w:val="04A0" w:firstRow="1" w:lastRow="0" w:firstColumn="1" w:lastColumn="0" w:noHBand="0" w:noVBand="1"/>
      </w:tblPr>
      <w:tblGrid>
        <w:gridCol w:w="829"/>
        <w:gridCol w:w="1285"/>
        <w:gridCol w:w="1285"/>
        <w:gridCol w:w="1285"/>
        <w:gridCol w:w="1285"/>
        <w:gridCol w:w="1285"/>
        <w:gridCol w:w="1285"/>
        <w:gridCol w:w="1285"/>
        <w:gridCol w:w="1285"/>
      </w:tblGrid>
      <w:tr w:rsidR="002B017E" w:rsidRPr="008534C0" w:rsidTr="002B017E">
        <w:trPr>
          <w:trHeight w:val="385"/>
        </w:trPr>
        <w:tc>
          <w:tcPr>
            <w:tcW w:w="829" w:type="dxa"/>
            <w:tcBorders>
              <w:top w:val="single" w:sz="4" w:space="0" w:color="auto"/>
              <w:left w:val="single" w:sz="4" w:space="0" w:color="auto"/>
              <w:bottom w:val="single" w:sz="4" w:space="0" w:color="auto"/>
              <w:right w:val="single" w:sz="4" w:space="0" w:color="auto"/>
            </w:tcBorders>
            <w:shd w:val="clear" w:color="auto" w:fill="auto"/>
            <w:hideMark/>
          </w:tcPr>
          <w:p w:rsidR="002B017E" w:rsidRPr="008534C0" w:rsidRDefault="002B017E" w:rsidP="00535162">
            <w:pPr>
              <w:spacing w:after="0" w:line="240" w:lineRule="auto"/>
              <w:rPr>
                <w:rFonts w:ascii="Calibri" w:eastAsia="Times New Roman" w:hAnsi="Calibri" w:cs="Calibri"/>
                <w:color w:val="000000"/>
                <w:sz w:val="24"/>
                <w:szCs w:val="24"/>
              </w:rPr>
            </w:pPr>
            <w:r w:rsidRPr="008534C0">
              <w:rPr>
                <w:rFonts w:ascii="Calibri" w:eastAsia="Times New Roman" w:hAnsi="Calibri" w:cs="Calibri"/>
                <w:color w:val="000000"/>
                <w:sz w:val="24"/>
                <w:szCs w:val="24"/>
              </w:rPr>
              <w:t> </w:t>
            </w:r>
          </w:p>
        </w:tc>
        <w:tc>
          <w:tcPr>
            <w:tcW w:w="2570" w:type="dxa"/>
            <w:gridSpan w:val="2"/>
            <w:tcBorders>
              <w:top w:val="single" w:sz="4" w:space="0" w:color="auto"/>
              <w:left w:val="nil"/>
              <w:bottom w:val="single" w:sz="4" w:space="0" w:color="auto"/>
              <w:right w:val="single" w:sz="4" w:space="0" w:color="auto"/>
            </w:tcBorders>
            <w:shd w:val="clear" w:color="auto" w:fill="auto"/>
            <w:hideMark/>
          </w:tcPr>
          <w:p w:rsidR="002B017E" w:rsidRPr="008534C0" w:rsidRDefault="002B017E" w:rsidP="00535162">
            <w:pPr>
              <w:spacing w:after="0" w:line="240" w:lineRule="auto"/>
              <w:jc w:val="center"/>
              <w:rPr>
                <w:rFonts w:ascii="Calibri" w:eastAsia="Times New Roman" w:hAnsi="Calibri" w:cs="Sylfaen"/>
                <w:b/>
                <w:bCs/>
                <w:color w:val="000000"/>
                <w:sz w:val="24"/>
                <w:szCs w:val="24"/>
              </w:rPr>
            </w:pPr>
            <w:proofErr w:type="spellStart"/>
            <w:r w:rsidRPr="008534C0">
              <w:rPr>
                <w:rFonts w:ascii="Calibri" w:eastAsia="Times New Roman" w:hAnsi="Calibri" w:cs="Sylfaen"/>
                <w:b/>
                <w:bCs/>
                <w:color w:val="000000"/>
                <w:sz w:val="24"/>
                <w:szCs w:val="24"/>
              </w:rPr>
              <w:t>ლუგარის</w:t>
            </w:r>
            <w:proofErr w:type="spellEnd"/>
            <w:r w:rsidRPr="008534C0">
              <w:rPr>
                <w:rFonts w:ascii="Calibri" w:eastAsia="Times New Roman" w:hAnsi="Calibri" w:cs="Sylfaen"/>
                <w:b/>
                <w:bCs/>
                <w:color w:val="000000"/>
                <w:sz w:val="24"/>
                <w:szCs w:val="24"/>
              </w:rPr>
              <w:t xml:space="preserve"> </w:t>
            </w:r>
            <w:proofErr w:type="spellStart"/>
            <w:r w:rsidRPr="008534C0">
              <w:rPr>
                <w:rFonts w:ascii="Calibri" w:eastAsia="Times New Roman" w:hAnsi="Calibri" w:cs="Sylfaen"/>
                <w:b/>
                <w:bCs/>
                <w:color w:val="000000"/>
                <w:sz w:val="24"/>
                <w:szCs w:val="24"/>
              </w:rPr>
              <w:t>ლაბორატორი</w:t>
            </w:r>
            <w:r>
              <w:rPr>
                <w:rFonts w:ascii="Calibri" w:eastAsia="Times New Roman" w:hAnsi="Calibri" w:cs="Sylfaen"/>
                <w:b/>
                <w:bCs/>
                <w:color w:val="000000"/>
                <w:sz w:val="24"/>
                <w:szCs w:val="24"/>
              </w:rPr>
              <w:t>a</w:t>
            </w:r>
            <w:proofErr w:type="spellEnd"/>
            <w:r w:rsidRPr="008534C0">
              <w:rPr>
                <w:rFonts w:ascii="Calibri" w:eastAsia="Times New Roman" w:hAnsi="Calibri" w:cs="Sylfaen"/>
                <w:b/>
                <w:bCs/>
                <w:color w:val="000000"/>
                <w:sz w:val="24"/>
                <w:szCs w:val="24"/>
              </w:rPr>
              <w:t xml:space="preserve"> </w:t>
            </w:r>
          </w:p>
        </w:tc>
        <w:tc>
          <w:tcPr>
            <w:tcW w:w="2570" w:type="dxa"/>
            <w:gridSpan w:val="2"/>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ქუთაისის ლაბორატორია</w:t>
            </w:r>
          </w:p>
        </w:tc>
        <w:tc>
          <w:tcPr>
            <w:tcW w:w="2570" w:type="dxa"/>
            <w:gridSpan w:val="2"/>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4"/>
                <w:szCs w:val="24"/>
                <w:lang w:val="ka-GE"/>
              </w:rPr>
            </w:pPr>
            <w:r>
              <w:rPr>
                <w:rFonts w:ascii="Calibri" w:eastAsia="Times New Roman" w:hAnsi="Calibri" w:cs="Sylfaen"/>
                <w:b/>
                <w:bCs/>
                <w:color w:val="000000"/>
                <w:sz w:val="24"/>
                <w:szCs w:val="24"/>
                <w:lang w:val="ka-GE"/>
              </w:rPr>
              <w:t>ბათუმის ლაბორატორია</w:t>
            </w:r>
          </w:p>
        </w:tc>
        <w:tc>
          <w:tcPr>
            <w:tcW w:w="2570" w:type="dxa"/>
            <w:gridSpan w:val="2"/>
            <w:tcBorders>
              <w:top w:val="single" w:sz="4" w:space="0" w:color="auto"/>
              <w:left w:val="nil"/>
              <w:bottom w:val="single" w:sz="4" w:space="0" w:color="auto"/>
              <w:right w:val="single" w:sz="4" w:space="0" w:color="auto"/>
            </w:tcBorders>
          </w:tcPr>
          <w:p w:rsidR="002B017E" w:rsidRPr="008534C0" w:rsidRDefault="002B017E" w:rsidP="00535162">
            <w:pPr>
              <w:spacing w:after="0" w:line="240" w:lineRule="auto"/>
              <w:jc w:val="center"/>
              <w:rPr>
                <w:rFonts w:ascii="Calibri" w:eastAsia="Times New Roman" w:hAnsi="Calibri" w:cs="Sylfaen"/>
                <w:b/>
                <w:bCs/>
                <w:color w:val="000000"/>
                <w:sz w:val="24"/>
                <w:szCs w:val="24"/>
              </w:rPr>
            </w:pPr>
            <w:r>
              <w:rPr>
                <w:rFonts w:ascii="Calibri" w:eastAsia="Times New Roman" w:hAnsi="Calibri" w:cs="Sylfaen"/>
                <w:b/>
                <w:bCs/>
                <w:color w:val="000000"/>
                <w:sz w:val="24"/>
                <w:szCs w:val="24"/>
              </w:rPr>
              <w:t>IDH</w:t>
            </w:r>
          </w:p>
        </w:tc>
      </w:tr>
      <w:tr w:rsidR="002B017E" w:rsidRPr="008534C0" w:rsidTr="002B017E">
        <w:trPr>
          <w:trHeight w:val="579"/>
        </w:trPr>
        <w:tc>
          <w:tcPr>
            <w:tcW w:w="829" w:type="dxa"/>
            <w:tcBorders>
              <w:top w:val="single" w:sz="4" w:space="0" w:color="auto"/>
              <w:left w:val="single" w:sz="4" w:space="0" w:color="auto"/>
              <w:bottom w:val="single" w:sz="4" w:space="0" w:color="auto"/>
              <w:right w:val="single" w:sz="4" w:space="0" w:color="auto"/>
            </w:tcBorders>
            <w:shd w:val="clear" w:color="auto" w:fill="auto"/>
          </w:tcPr>
          <w:p w:rsidR="002B017E" w:rsidRPr="008534C0" w:rsidRDefault="002B017E" w:rsidP="00535162">
            <w:pPr>
              <w:spacing w:after="0" w:line="240" w:lineRule="auto"/>
              <w:rPr>
                <w:rFonts w:ascii="Calibri" w:eastAsia="Times New Roman" w:hAnsi="Calibri" w:cs="Calibri"/>
                <w:color w:val="000000"/>
                <w:sz w:val="24"/>
                <w:szCs w:val="24"/>
              </w:rPr>
            </w:pPr>
          </w:p>
        </w:tc>
        <w:tc>
          <w:tcPr>
            <w:tcW w:w="1285" w:type="dxa"/>
            <w:tcBorders>
              <w:top w:val="single" w:sz="4" w:space="0" w:color="auto"/>
              <w:left w:val="nil"/>
              <w:bottom w:val="single" w:sz="4" w:space="0" w:color="auto"/>
              <w:right w:val="single" w:sz="4" w:space="0" w:color="auto"/>
            </w:tcBorders>
            <w:shd w:val="clear" w:color="auto" w:fill="auto"/>
          </w:tcPr>
          <w:p w:rsidR="002B017E" w:rsidRDefault="002B017E" w:rsidP="0053516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2B017E" w:rsidRPr="007407E5" w:rsidRDefault="002B017E" w:rsidP="0053516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5" w:type="dxa"/>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5" w:type="dxa"/>
            <w:tcBorders>
              <w:top w:val="single" w:sz="4" w:space="0" w:color="auto"/>
              <w:left w:val="nil"/>
              <w:bottom w:val="single" w:sz="4" w:space="0" w:color="auto"/>
              <w:right w:val="single" w:sz="4" w:space="0" w:color="auto"/>
            </w:tcBorders>
          </w:tcPr>
          <w:p w:rsidR="002B017E" w:rsidRDefault="002B017E" w:rsidP="0053516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2B017E" w:rsidRPr="007407E5" w:rsidRDefault="002B017E" w:rsidP="0053516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5" w:type="dxa"/>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5" w:type="dxa"/>
            <w:tcBorders>
              <w:top w:val="single" w:sz="4" w:space="0" w:color="auto"/>
              <w:left w:val="nil"/>
              <w:bottom w:val="single" w:sz="4" w:space="0" w:color="auto"/>
              <w:right w:val="single" w:sz="4" w:space="0" w:color="auto"/>
            </w:tcBorders>
          </w:tcPr>
          <w:p w:rsidR="002B017E" w:rsidRDefault="002B017E" w:rsidP="0053516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2B017E" w:rsidRPr="007407E5" w:rsidRDefault="002B017E" w:rsidP="0053516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5" w:type="dxa"/>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c>
          <w:tcPr>
            <w:tcW w:w="1285" w:type="dxa"/>
            <w:tcBorders>
              <w:top w:val="single" w:sz="4" w:space="0" w:color="auto"/>
              <w:left w:val="nil"/>
              <w:bottom w:val="single" w:sz="4" w:space="0" w:color="auto"/>
              <w:right w:val="single" w:sz="4" w:space="0" w:color="auto"/>
            </w:tcBorders>
          </w:tcPr>
          <w:p w:rsidR="002B017E" w:rsidRDefault="002B017E" w:rsidP="00535162">
            <w:pPr>
              <w:spacing w:after="0" w:line="240" w:lineRule="auto"/>
              <w:jc w:val="center"/>
              <w:rPr>
                <w:rFonts w:ascii="Calibri" w:eastAsia="Times New Roman" w:hAnsi="Calibri" w:cs="Sylfaen"/>
                <w:b/>
                <w:bCs/>
                <w:color w:val="000000"/>
                <w:sz w:val="20"/>
                <w:szCs w:val="20"/>
              </w:rPr>
            </w:pPr>
            <w:proofErr w:type="spellStart"/>
            <w:r w:rsidRPr="007407E5">
              <w:rPr>
                <w:rFonts w:ascii="Calibri" w:eastAsia="Times New Roman" w:hAnsi="Calibri" w:cs="Sylfaen"/>
                <w:b/>
                <w:bCs/>
                <w:color w:val="000000"/>
                <w:sz w:val="20"/>
                <w:szCs w:val="20"/>
              </w:rPr>
              <w:t>ნიმუშების</w:t>
            </w:r>
            <w:proofErr w:type="spellEnd"/>
            <w:r w:rsidRPr="007407E5">
              <w:rPr>
                <w:rFonts w:ascii="Calibri" w:eastAsia="Times New Roman" w:hAnsi="Calibri" w:cs="Sylfaen"/>
                <w:b/>
                <w:bCs/>
                <w:color w:val="000000"/>
                <w:sz w:val="20"/>
                <w:szCs w:val="20"/>
              </w:rPr>
              <w:t xml:space="preserve"> </w:t>
            </w:r>
          </w:p>
          <w:p w:rsidR="002B017E" w:rsidRPr="007407E5" w:rsidRDefault="002B017E" w:rsidP="00535162">
            <w:pPr>
              <w:spacing w:after="0" w:line="240" w:lineRule="auto"/>
              <w:jc w:val="center"/>
              <w:rPr>
                <w:rFonts w:ascii="Calibri" w:eastAsia="Times New Roman" w:hAnsi="Calibri" w:cs="Sylfaen"/>
                <w:b/>
                <w:bCs/>
                <w:color w:val="000000"/>
                <w:sz w:val="20"/>
                <w:szCs w:val="20"/>
              </w:rPr>
            </w:pPr>
            <w:r>
              <w:rPr>
                <w:rFonts w:ascii="Calibri" w:eastAsia="Times New Roman" w:hAnsi="Calibri" w:cs="Sylfaen"/>
                <w:b/>
                <w:bCs/>
                <w:color w:val="000000"/>
                <w:sz w:val="20"/>
                <w:szCs w:val="20"/>
                <w:lang w:val="ka-GE"/>
              </w:rPr>
              <w:t xml:space="preserve">საერთო </w:t>
            </w:r>
            <w:proofErr w:type="spellStart"/>
            <w:r w:rsidRPr="007407E5">
              <w:rPr>
                <w:rFonts w:ascii="Calibri" w:eastAsia="Times New Roman" w:hAnsi="Calibri" w:cs="Sylfaen"/>
                <w:b/>
                <w:bCs/>
                <w:color w:val="000000"/>
                <w:sz w:val="20"/>
                <w:szCs w:val="20"/>
              </w:rPr>
              <w:t>რაოდენობა</w:t>
            </w:r>
            <w:proofErr w:type="spellEnd"/>
          </w:p>
        </w:tc>
        <w:tc>
          <w:tcPr>
            <w:tcW w:w="1285" w:type="dxa"/>
            <w:tcBorders>
              <w:top w:val="single" w:sz="4" w:space="0" w:color="auto"/>
              <w:left w:val="nil"/>
              <w:bottom w:val="single" w:sz="4" w:space="0" w:color="auto"/>
              <w:right w:val="single" w:sz="4" w:space="0" w:color="auto"/>
            </w:tcBorders>
          </w:tcPr>
          <w:p w:rsidR="002B017E" w:rsidRPr="007407E5" w:rsidRDefault="002B017E" w:rsidP="00535162">
            <w:pPr>
              <w:spacing w:after="0" w:line="240" w:lineRule="auto"/>
              <w:jc w:val="center"/>
              <w:rPr>
                <w:rFonts w:ascii="Calibri" w:eastAsia="Times New Roman" w:hAnsi="Calibri" w:cs="Sylfaen"/>
                <w:b/>
                <w:bCs/>
                <w:color w:val="000000"/>
                <w:sz w:val="20"/>
                <w:szCs w:val="20"/>
                <w:lang w:val="ka-GE"/>
              </w:rPr>
            </w:pPr>
            <w:r w:rsidRPr="007407E5">
              <w:rPr>
                <w:rFonts w:ascii="Calibri" w:eastAsia="Times New Roman" w:hAnsi="Calibri" w:cs="Sylfaen"/>
                <w:b/>
                <w:bCs/>
                <w:color w:val="000000"/>
                <w:sz w:val="20"/>
                <w:szCs w:val="20"/>
                <w:lang w:val="ka-GE"/>
              </w:rPr>
              <w:t>მათ შორის განმეორებითი</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2.03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3.03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29</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4.03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5.03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26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6.03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39</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7.03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53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lang w:val="ka-GE"/>
              </w:rPr>
              <w:t>8.03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lang w:val="ka-GE"/>
              </w:rPr>
              <w:t>35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9.03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46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10.03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47</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11.03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65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12.03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13.03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5</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14.03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45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15.03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432F5C" w:rsidRDefault="002B017E" w:rsidP="0053516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4</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t>16.03</w:t>
            </w:r>
          </w:p>
        </w:tc>
        <w:tc>
          <w:tcPr>
            <w:tcW w:w="1285" w:type="dxa"/>
            <w:tcBorders>
              <w:top w:val="nil"/>
              <w:left w:val="nil"/>
              <w:bottom w:val="single" w:sz="4" w:space="0" w:color="auto"/>
              <w:right w:val="single" w:sz="4" w:space="0" w:color="auto"/>
            </w:tcBorders>
            <w:shd w:val="clear" w:color="auto" w:fill="auto"/>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36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9</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432F5C" w:rsidRDefault="002B017E" w:rsidP="0053516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12</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0E5A54" w:rsidRDefault="002B017E" w:rsidP="00535162">
            <w:pPr>
              <w:spacing w:after="0" w:line="240" w:lineRule="auto"/>
              <w:rPr>
                <w:rFonts w:ascii="Arial" w:eastAsia="Times New Roman" w:hAnsi="Arial" w:cs="Arial"/>
                <w:color w:val="000000"/>
                <w:sz w:val="24"/>
                <w:szCs w:val="24"/>
              </w:rPr>
            </w:pPr>
            <w:r w:rsidRPr="000E5A54">
              <w:rPr>
                <w:rFonts w:ascii="Arial" w:eastAsia="Times New Roman" w:hAnsi="Arial" w:cs="Arial"/>
                <w:color w:val="000000"/>
                <w:sz w:val="24"/>
                <w:szCs w:val="24"/>
              </w:rPr>
              <w:lastRenderedPageBreak/>
              <w:t>17.03</w:t>
            </w:r>
          </w:p>
        </w:tc>
        <w:tc>
          <w:tcPr>
            <w:tcW w:w="1285" w:type="dxa"/>
            <w:tcBorders>
              <w:top w:val="nil"/>
              <w:left w:val="nil"/>
              <w:bottom w:val="single" w:sz="4" w:space="0" w:color="auto"/>
              <w:right w:val="single" w:sz="4" w:space="0" w:color="auto"/>
            </w:tcBorders>
            <w:shd w:val="clear" w:color="auto" w:fill="auto"/>
            <w:noWrap/>
            <w:vAlign w:val="center"/>
            <w:hideMark/>
          </w:tcPr>
          <w:p w:rsidR="002B017E" w:rsidRPr="001E267B" w:rsidRDefault="002B017E" w:rsidP="00535162">
            <w:pPr>
              <w:spacing w:after="0" w:line="240" w:lineRule="auto"/>
              <w:jc w:val="center"/>
              <w:rPr>
                <w:rFonts w:ascii="Arial" w:eastAsia="Times New Roman" w:hAnsi="Arial" w:cs="Arial"/>
                <w:color w:val="000000"/>
              </w:rPr>
            </w:pPr>
            <w:r w:rsidRPr="001E267B">
              <w:rPr>
                <w:rFonts w:ascii="Arial" w:eastAsia="Times New Roman" w:hAnsi="Arial" w:cs="Arial"/>
                <w:color w:val="000000"/>
              </w:rPr>
              <w:t>33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17</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432F5C" w:rsidRDefault="002B017E" w:rsidP="00535162">
            <w:pPr>
              <w:spacing w:after="0" w:line="240" w:lineRule="auto"/>
              <w:jc w:val="center"/>
              <w:rPr>
                <w:rFonts w:ascii="Arial" w:eastAsia="Times New Roman" w:hAnsi="Arial" w:cs="Arial"/>
                <w:color w:val="000000"/>
                <w:lang w:val="ka-GE"/>
              </w:rPr>
            </w:pPr>
            <w:r w:rsidRPr="00432F5C">
              <w:rPr>
                <w:rFonts w:ascii="Arial" w:eastAsia="Times New Roman" w:hAnsi="Arial" w:cs="Arial"/>
                <w:color w:val="000000"/>
                <w:lang w:val="ka-GE"/>
              </w:rPr>
              <w:t>6</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2B017E" w:rsidRPr="00E37F5D" w:rsidRDefault="002B017E" w:rsidP="00535162">
            <w:pPr>
              <w:spacing w:after="0" w:line="240" w:lineRule="auto"/>
              <w:rPr>
                <w:rFonts w:ascii="Arial" w:eastAsia="Times New Roman" w:hAnsi="Arial" w:cs="Arial"/>
                <w:color w:val="000000"/>
                <w:sz w:val="24"/>
                <w:szCs w:val="24"/>
              </w:rPr>
            </w:pPr>
            <w:r w:rsidRPr="00E37F5D">
              <w:rPr>
                <w:rFonts w:ascii="Arial" w:eastAsia="Times New Roman" w:hAnsi="Arial" w:cs="Arial"/>
                <w:color w:val="000000"/>
                <w:sz w:val="24"/>
                <w:szCs w:val="24"/>
              </w:rPr>
              <w:t>18.03</w:t>
            </w:r>
          </w:p>
        </w:tc>
        <w:tc>
          <w:tcPr>
            <w:tcW w:w="1285" w:type="dxa"/>
            <w:tcBorders>
              <w:top w:val="nil"/>
              <w:left w:val="nil"/>
              <w:bottom w:val="single" w:sz="4" w:space="0" w:color="auto"/>
              <w:right w:val="single" w:sz="4" w:space="0" w:color="auto"/>
            </w:tcBorders>
            <w:shd w:val="clear" w:color="auto" w:fill="auto"/>
            <w:noWrap/>
            <w:vAlign w:val="center"/>
            <w:hideMark/>
          </w:tcPr>
          <w:p w:rsidR="002B017E" w:rsidRPr="00293484" w:rsidRDefault="002B017E" w:rsidP="00535162">
            <w:pPr>
              <w:spacing w:after="0" w:line="240" w:lineRule="auto"/>
              <w:jc w:val="center"/>
              <w:rPr>
                <w:rFonts w:eastAsia="Times New Roman" w:cs="Arial"/>
                <w:color w:val="000000"/>
                <w:lang w:val="ka-GE"/>
              </w:rPr>
            </w:pPr>
            <w:r w:rsidRPr="00293484">
              <w:rPr>
                <w:rFonts w:ascii="Arial" w:eastAsia="Times New Roman" w:hAnsi="Arial" w:cs="Arial"/>
                <w:color w:val="000000"/>
              </w:rPr>
              <w:t>51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11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21</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Pr="0047349B" w:rsidRDefault="002B017E" w:rsidP="00535162">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19.03</w:t>
            </w:r>
          </w:p>
        </w:tc>
        <w:tc>
          <w:tcPr>
            <w:tcW w:w="1285" w:type="dxa"/>
            <w:tcBorders>
              <w:top w:val="nil"/>
              <w:left w:val="nil"/>
              <w:bottom w:val="single" w:sz="4" w:space="0" w:color="auto"/>
              <w:right w:val="single" w:sz="4" w:space="0" w:color="auto"/>
            </w:tcBorders>
            <w:shd w:val="clear" w:color="auto" w:fill="auto"/>
            <w:noWrap/>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45</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683382" w:rsidRDefault="002B017E" w:rsidP="00535162">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7</w:t>
            </w:r>
          </w:p>
        </w:tc>
        <w:tc>
          <w:tcPr>
            <w:tcW w:w="1285" w:type="dxa"/>
            <w:tcBorders>
              <w:top w:val="nil"/>
              <w:left w:val="nil"/>
              <w:bottom w:val="single" w:sz="4" w:space="0" w:color="auto"/>
              <w:right w:val="single" w:sz="4" w:space="0" w:color="auto"/>
            </w:tcBorders>
            <w:vAlign w:val="center"/>
          </w:tcPr>
          <w:p w:rsidR="002B017E" w:rsidRPr="00683382" w:rsidRDefault="002B017E" w:rsidP="00535162">
            <w:pPr>
              <w:spacing w:after="0" w:line="240" w:lineRule="auto"/>
              <w:jc w:val="center"/>
              <w:rPr>
                <w:rFonts w:ascii="Arial" w:eastAsia="Times New Roman" w:hAnsi="Arial" w:cs="Arial"/>
                <w:color w:val="000000"/>
                <w:lang w:val="ka-GE"/>
              </w:rPr>
            </w:pPr>
            <w:r w:rsidRPr="00683382">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1C7861"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9</w:t>
            </w:r>
          </w:p>
        </w:tc>
        <w:tc>
          <w:tcPr>
            <w:tcW w:w="1285" w:type="dxa"/>
            <w:tcBorders>
              <w:top w:val="nil"/>
              <w:left w:val="nil"/>
              <w:bottom w:val="single" w:sz="4" w:space="0" w:color="auto"/>
              <w:right w:val="single" w:sz="4" w:space="0" w:color="auto"/>
            </w:tcBorders>
            <w:vAlign w:val="center"/>
          </w:tcPr>
          <w:p w:rsidR="002B017E" w:rsidRPr="001C7861"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30</w:t>
            </w:r>
          </w:p>
        </w:tc>
        <w:tc>
          <w:tcPr>
            <w:tcW w:w="1285" w:type="dxa"/>
            <w:tcBorders>
              <w:top w:val="nil"/>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color w:val="000000"/>
                <w:lang w:val="ka-GE"/>
              </w:rPr>
            </w:pPr>
            <w:r w:rsidRPr="001E267B">
              <w:rPr>
                <w:rFonts w:ascii="Arial" w:eastAsia="Times New Roman" w:hAnsi="Arial" w:cs="Arial"/>
                <w:color w:val="000000"/>
                <w:lang w:val="ka-GE"/>
              </w:rPr>
              <w:t>7</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Pr="0047349B" w:rsidRDefault="002B017E" w:rsidP="00535162">
            <w:pPr>
              <w:spacing w:after="0" w:line="240" w:lineRule="auto"/>
              <w:rPr>
                <w:rFonts w:ascii="Arial" w:eastAsia="Times New Roman" w:hAnsi="Arial" w:cs="Arial"/>
                <w:color w:val="000000"/>
                <w:sz w:val="24"/>
                <w:szCs w:val="24"/>
              </w:rPr>
            </w:pPr>
            <w:r w:rsidRPr="0047349B">
              <w:rPr>
                <w:rFonts w:ascii="Arial" w:eastAsia="Times New Roman" w:hAnsi="Arial" w:cs="Arial"/>
                <w:color w:val="000000"/>
                <w:sz w:val="24"/>
                <w:szCs w:val="24"/>
              </w:rPr>
              <w:t>20.03</w:t>
            </w:r>
          </w:p>
        </w:tc>
        <w:tc>
          <w:tcPr>
            <w:tcW w:w="1285" w:type="dxa"/>
            <w:tcBorders>
              <w:top w:val="nil"/>
              <w:left w:val="nil"/>
              <w:bottom w:val="single" w:sz="4" w:space="0" w:color="auto"/>
              <w:right w:val="single" w:sz="4" w:space="0" w:color="auto"/>
            </w:tcBorders>
            <w:shd w:val="clear" w:color="auto" w:fill="auto"/>
            <w:noWrap/>
            <w:vAlign w:val="center"/>
          </w:tcPr>
          <w:p w:rsidR="002B017E" w:rsidRPr="0047349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56</w:t>
            </w:r>
          </w:p>
        </w:tc>
        <w:tc>
          <w:tcPr>
            <w:tcW w:w="1285" w:type="dxa"/>
            <w:tcBorders>
              <w:top w:val="nil"/>
              <w:left w:val="nil"/>
              <w:bottom w:val="single" w:sz="4" w:space="0" w:color="auto"/>
              <w:right w:val="single" w:sz="4" w:space="0" w:color="auto"/>
            </w:tcBorders>
            <w:vAlign w:val="center"/>
          </w:tcPr>
          <w:p w:rsidR="002B017E" w:rsidRPr="0047349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5" w:type="dxa"/>
            <w:tcBorders>
              <w:top w:val="nil"/>
              <w:left w:val="nil"/>
              <w:bottom w:val="single" w:sz="4" w:space="0" w:color="auto"/>
              <w:right w:val="single" w:sz="4" w:space="0" w:color="auto"/>
            </w:tcBorders>
            <w:vAlign w:val="center"/>
          </w:tcPr>
          <w:p w:rsidR="002B017E" w:rsidRPr="00F912FB" w:rsidRDefault="002B017E" w:rsidP="00535162">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15</w:t>
            </w:r>
          </w:p>
        </w:tc>
        <w:tc>
          <w:tcPr>
            <w:tcW w:w="1285" w:type="dxa"/>
            <w:tcBorders>
              <w:top w:val="nil"/>
              <w:left w:val="nil"/>
              <w:bottom w:val="single" w:sz="4" w:space="0" w:color="auto"/>
              <w:right w:val="single" w:sz="4" w:space="0" w:color="auto"/>
            </w:tcBorders>
            <w:vAlign w:val="center"/>
          </w:tcPr>
          <w:p w:rsidR="002B017E" w:rsidRPr="00F912FB" w:rsidRDefault="002B017E" w:rsidP="00535162">
            <w:pPr>
              <w:spacing w:after="0" w:line="240" w:lineRule="auto"/>
              <w:jc w:val="center"/>
              <w:rPr>
                <w:rFonts w:ascii="Arial" w:eastAsia="Times New Roman" w:hAnsi="Arial" w:cs="Arial"/>
                <w:color w:val="000000"/>
                <w:lang w:val="ka-GE"/>
              </w:rPr>
            </w:pPr>
            <w:r w:rsidRPr="00F912FB">
              <w:rPr>
                <w:rFonts w:ascii="Arial" w:eastAsia="Times New Roman" w:hAnsi="Arial" w:cs="Arial"/>
                <w:color w:val="000000"/>
                <w:lang w:val="ka-GE"/>
              </w:rPr>
              <w:t>2</w:t>
            </w:r>
          </w:p>
        </w:tc>
        <w:tc>
          <w:tcPr>
            <w:tcW w:w="1285" w:type="dxa"/>
            <w:tcBorders>
              <w:top w:val="nil"/>
              <w:left w:val="nil"/>
              <w:bottom w:val="single" w:sz="4" w:space="0" w:color="auto"/>
              <w:right w:val="single" w:sz="4" w:space="0" w:color="auto"/>
            </w:tcBorders>
            <w:vAlign w:val="center"/>
          </w:tcPr>
          <w:p w:rsidR="002B017E" w:rsidRPr="005D4771" w:rsidRDefault="002B017E" w:rsidP="00535162">
            <w:pPr>
              <w:spacing w:after="0" w:line="240" w:lineRule="auto"/>
              <w:jc w:val="center"/>
              <w:rPr>
                <w:rFonts w:ascii="Arial" w:eastAsia="Times New Roman" w:hAnsi="Arial" w:cs="Arial"/>
                <w:color w:val="000000"/>
              </w:rPr>
            </w:pPr>
            <w:r w:rsidRPr="005D4771">
              <w:rPr>
                <w:rFonts w:ascii="Arial" w:eastAsia="Times New Roman" w:hAnsi="Arial" w:cs="Arial"/>
                <w:color w:val="000000"/>
              </w:rPr>
              <w:t>6</w:t>
            </w:r>
          </w:p>
        </w:tc>
        <w:tc>
          <w:tcPr>
            <w:tcW w:w="1285" w:type="dxa"/>
            <w:tcBorders>
              <w:top w:val="nil"/>
              <w:left w:val="nil"/>
              <w:bottom w:val="single" w:sz="4" w:space="0" w:color="auto"/>
              <w:right w:val="single" w:sz="4" w:space="0" w:color="auto"/>
            </w:tcBorders>
            <w:vAlign w:val="center"/>
          </w:tcPr>
          <w:p w:rsidR="002B017E" w:rsidRPr="005D4771" w:rsidRDefault="002B017E" w:rsidP="00535162">
            <w:pPr>
              <w:spacing w:after="0" w:line="240" w:lineRule="auto"/>
              <w:jc w:val="center"/>
              <w:rPr>
                <w:rFonts w:ascii="Arial" w:eastAsia="Times New Roman" w:hAnsi="Arial" w:cs="Arial"/>
                <w:color w:val="000000"/>
              </w:rPr>
            </w:pPr>
            <w:r w:rsidRPr="005D4771">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Pr="0047349B" w:rsidRDefault="002B017E" w:rsidP="00535162">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24</w:t>
            </w:r>
          </w:p>
        </w:tc>
        <w:tc>
          <w:tcPr>
            <w:tcW w:w="1285" w:type="dxa"/>
            <w:tcBorders>
              <w:top w:val="nil"/>
              <w:left w:val="nil"/>
              <w:bottom w:val="single" w:sz="4" w:space="0" w:color="auto"/>
              <w:right w:val="single" w:sz="4" w:space="0" w:color="auto"/>
            </w:tcBorders>
            <w:vAlign w:val="center"/>
          </w:tcPr>
          <w:p w:rsidR="002B017E" w:rsidRPr="0047349B" w:rsidRDefault="002B017E" w:rsidP="00535162">
            <w:pPr>
              <w:spacing w:after="0" w:line="240" w:lineRule="auto"/>
              <w:jc w:val="center"/>
              <w:rPr>
                <w:rFonts w:ascii="Arial" w:eastAsia="Times New Roman" w:hAnsi="Arial" w:cs="Arial"/>
                <w:color w:val="000000"/>
                <w:lang w:val="ka-GE"/>
              </w:rPr>
            </w:pPr>
            <w:r w:rsidRPr="0047349B">
              <w:rPr>
                <w:rFonts w:ascii="Arial" w:eastAsia="Times New Roman" w:hAnsi="Arial" w:cs="Arial"/>
                <w:color w:val="000000"/>
                <w:lang w:val="ka-GE"/>
              </w:rPr>
              <w:t>8</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Pr="006A3556" w:rsidRDefault="002B017E" w:rsidP="00535162">
            <w:pPr>
              <w:spacing w:after="0" w:line="240" w:lineRule="auto"/>
              <w:rPr>
                <w:rFonts w:eastAsia="Times New Roman" w:cs="Arial"/>
                <w:color w:val="000000"/>
                <w:sz w:val="24"/>
                <w:szCs w:val="24"/>
                <w:lang w:val="ka-GE"/>
              </w:rPr>
            </w:pPr>
            <w:r w:rsidRPr="006A3556">
              <w:rPr>
                <w:rFonts w:ascii="Arial" w:eastAsia="Times New Roman" w:hAnsi="Arial" w:cs="Arial"/>
                <w:color w:val="000000"/>
                <w:sz w:val="24"/>
                <w:szCs w:val="24"/>
              </w:rPr>
              <w:t>21.03</w:t>
            </w:r>
          </w:p>
        </w:tc>
        <w:tc>
          <w:tcPr>
            <w:tcW w:w="1285" w:type="dxa"/>
            <w:tcBorders>
              <w:top w:val="nil"/>
              <w:left w:val="nil"/>
              <w:bottom w:val="single" w:sz="4" w:space="0" w:color="auto"/>
              <w:right w:val="single" w:sz="4" w:space="0" w:color="auto"/>
            </w:tcBorders>
            <w:shd w:val="clear" w:color="auto" w:fill="auto"/>
            <w:noWrap/>
            <w:vAlign w:val="center"/>
          </w:tcPr>
          <w:p w:rsidR="002B017E" w:rsidRPr="008431B7" w:rsidRDefault="002B017E" w:rsidP="00535162">
            <w:pPr>
              <w:spacing w:after="0" w:line="240" w:lineRule="auto"/>
              <w:jc w:val="center"/>
              <w:rPr>
                <w:rFonts w:ascii="Arial" w:eastAsia="Times New Roman" w:hAnsi="Arial" w:cs="Arial"/>
                <w:color w:val="000000"/>
              </w:rPr>
            </w:pPr>
            <w:r w:rsidRPr="008431B7">
              <w:rPr>
                <w:rFonts w:ascii="Arial" w:eastAsia="Times New Roman" w:hAnsi="Arial" w:cs="Arial"/>
                <w:color w:val="000000"/>
              </w:rPr>
              <w:t>41</w:t>
            </w:r>
          </w:p>
        </w:tc>
        <w:tc>
          <w:tcPr>
            <w:tcW w:w="1285" w:type="dxa"/>
            <w:tcBorders>
              <w:top w:val="nil"/>
              <w:left w:val="nil"/>
              <w:bottom w:val="single" w:sz="4" w:space="0" w:color="auto"/>
              <w:right w:val="single" w:sz="4" w:space="0" w:color="auto"/>
            </w:tcBorders>
            <w:vAlign w:val="center"/>
          </w:tcPr>
          <w:p w:rsidR="002B017E" w:rsidRPr="008431B7"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5" w:type="dxa"/>
            <w:tcBorders>
              <w:top w:val="nil"/>
              <w:left w:val="nil"/>
              <w:bottom w:val="single" w:sz="4" w:space="0" w:color="auto"/>
              <w:right w:val="single" w:sz="4" w:space="0" w:color="auto"/>
            </w:tcBorders>
            <w:vAlign w:val="center"/>
          </w:tcPr>
          <w:p w:rsidR="002B017E" w:rsidRPr="00A2051F" w:rsidRDefault="002B017E" w:rsidP="00535162">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4</w:t>
            </w:r>
          </w:p>
        </w:tc>
        <w:tc>
          <w:tcPr>
            <w:tcW w:w="1285" w:type="dxa"/>
            <w:tcBorders>
              <w:top w:val="nil"/>
              <w:left w:val="nil"/>
              <w:bottom w:val="single" w:sz="4" w:space="0" w:color="auto"/>
              <w:right w:val="single" w:sz="4" w:space="0" w:color="auto"/>
            </w:tcBorders>
            <w:vAlign w:val="center"/>
          </w:tcPr>
          <w:p w:rsidR="002B017E" w:rsidRPr="00A2051F" w:rsidRDefault="002B017E" w:rsidP="00535162">
            <w:pPr>
              <w:spacing w:after="0" w:line="240" w:lineRule="auto"/>
              <w:jc w:val="center"/>
              <w:rPr>
                <w:rFonts w:ascii="Arial" w:eastAsia="Times New Roman" w:hAnsi="Arial" w:cs="Arial"/>
                <w:color w:val="000000"/>
                <w:lang w:val="ka-GE"/>
              </w:rPr>
            </w:pPr>
            <w:r w:rsidRPr="00A2051F">
              <w:rPr>
                <w:rFonts w:ascii="Arial" w:eastAsia="Times New Roman" w:hAnsi="Arial" w:cs="Arial"/>
                <w:color w:val="000000"/>
                <w:lang w:val="ka-GE"/>
              </w:rPr>
              <w:t>0</w:t>
            </w:r>
          </w:p>
        </w:tc>
        <w:tc>
          <w:tcPr>
            <w:tcW w:w="1285" w:type="dxa"/>
            <w:tcBorders>
              <w:top w:val="nil"/>
              <w:left w:val="nil"/>
              <w:bottom w:val="single" w:sz="4" w:space="0" w:color="auto"/>
              <w:right w:val="single" w:sz="4" w:space="0" w:color="auto"/>
            </w:tcBorders>
            <w:vAlign w:val="center"/>
          </w:tcPr>
          <w:p w:rsidR="002B017E" w:rsidRPr="00A77BF3" w:rsidRDefault="002B017E" w:rsidP="00535162">
            <w:pPr>
              <w:spacing w:after="0" w:line="240" w:lineRule="auto"/>
              <w:jc w:val="center"/>
              <w:rPr>
                <w:rFonts w:ascii="Arial" w:eastAsia="Times New Roman" w:hAnsi="Arial" w:cs="Arial"/>
                <w:color w:val="000000"/>
              </w:rPr>
            </w:pPr>
            <w:r w:rsidRPr="00A77BF3">
              <w:rPr>
                <w:rFonts w:ascii="Arial" w:eastAsia="Times New Roman" w:hAnsi="Arial" w:cs="Arial"/>
                <w:color w:val="000000"/>
              </w:rPr>
              <w:t>4</w:t>
            </w:r>
          </w:p>
        </w:tc>
        <w:tc>
          <w:tcPr>
            <w:tcW w:w="1285" w:type="dxa"/>
            <w:tcBorders>
              <w:top w:val="nil"/>
              <w:left w:val="nil"/>
              <w:bottom w:val="single" w:sz="4" w:space="0" w:color="auto"/>
              <w:right w:val="single" w:sz="4" w:space="0" w:color="auto"/>
            </w:tcBorders>
            <w:vAlign w:val="center"/>
          </w:tcPr>
          <w:p w:rsidR="002B017E" w:rsidRPr="00A77BF3" w:rsidRDefault="002B017E" w:rsidP="00535162">
            <w:pPr>
              <w:spacing w:after="0" w:line="240" w:lineRule="auto"/>
              <w:jc w:val="center"/>
              <w:rPr>
                <w:rFonts w:ascii="Arial" w:eastAsia="Times New Roman" w:hAnsi="Arial" w:cs="Arial"/>
                <w:color w:val="000000"/>
              </w:rPr>
            </w:pPr>
            <w:r w:rsidRPr="00A77BF3">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Pr="006A3556" w:rsidRDefault="002B017E" w:rsidP="00535162">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19</w:t>
            </w:r>
          </w:p>
        </w:tc>
        <w:tc>
          <w:tcPr>
            <w:tcW w:w="1285" w:type="dxa"/>
            <w:tcBorders>
              <w:top w:val="nil"/>
              <w:left w:val="nil"/>
              <w:bottom w:val="single" w:sz="4" w:space="0" w:color="auto"/>
              <w:right w:val="single" w:sz="4" w:space="0" w:color="auto"/>
            </w:tcBorders>
            <w:vAlign w:val="center"/>
          </w:tcPr>
          <w:p w:rsidR="002B017E" w:rsidRPr="006A3556" w:rsidRDefault="002B017E" w:rsidP="00535162">
            <w:pPr>
              <w:spacing w:after="0" w:line="240" w:lineRule="auto"/>
              <w:jc w:val="center"/>
              <w:rPr>
                <w:rFonts w:ascii="Arial" w:eastAsia="Times New Roman" w:hAnsi="Arial" w:cs="Arial"/>
                <w:color w:val="000000"/>
                <w:lang w:val="ka-GE"/>
              </w:rPr>
            </w:pPr>
            <w:r w:rsidRPr="006A3556">
              <w:rPr>
                <w:rFonts w:ascii="Arial" w:eastAsia="Times New Roman" w:hAnsi="Arial" w:cs="Arial"/>
                <w:color w:val="000000"/>
                <w:lang w:val="ka-GE"/>
              </w:rPr>
              <w:t>4</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Pr="006A3556" w:rsidRDefault="002B017E" w:rsidP="005351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22.03</w:t>
            </w:r>
          </w:p>
        </w:tc>
        <w:tc>
          <w:tcPr>
            <w:tcW w:w="1285" w:type="dxa"/>
            <w:tcBorders>
              <w:top w:val="nil"/>
              <w:left w:val="nil"/>
              <w:bottom w:val="single" w:sz="4" w:space="0" w:color="auto"/>
              <w:right w:val="single" w:sz="4" w:space="0" w:color="auto"/>
            </w:tcBorders>
            <w:shd w:val="clear" w:color="auto" w:fill="auto"/>
            <w:noWrap/>
            <w:vAlign w:val="center"/>
          </w:tcPr>
          <w:p w:rsidR="002B017E" w:rsidRPr="008431B7"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5" w:type="dxa"/>
            <w:tcBorders>
              <w:top w:val="nil"/>
              <w:left w:val="nil"/>
              <w:bottom w:val="single" w:sz="4" w:space="0" w:color="auto"/>
              <w:right w:val="single" w:sz="4" w:space="0" w:color="auto"/>
            </w:tcBorders>
            <w:vAlign w:val="center"/>
          </w:tcPr>
          <w:p w:rsidR="002B017E"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6</w:t>
            </w:r>
          </w:p>
        </w:tc>
        <w:tc>
          <w:tcPr>
            <w:tcW w:w="1285" w:type="dxa"/>
            <w:tcBorders>
              <w:top w:val="nil"/>
              <w:left w:val="nil"/>
              <w:bottom w:val="single" w:sz="4" w:space="0" w:color="auto"/>
              <w:right w:val="single" w:sz="4" w:space="0" w:color="auto"/>
            </w:tcBorders>
            <w:vAlign w:val="center"/>
          </w:tcPr>
          <w:p w:rsidR="002B017E" w:rsidRPr="00A02317" w:rsidRDefault="002B017E" w:rsidP="00535162">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6</w:t>
            </w:r>
          </w:p>
        </w:tc>
        <w:tc>
          <w:tcPr>
            <w:tcW w:w="1285" w:type="dxa"/>
            <w:tcBorders>
              <w:top w:val="nil"/>
              <w:left w:val="nil"/>
              <w:bottom w:val="single" w:sz="4" w:space="0" w:color="auto"/>
              <w:right w:val="single" w:sz="4" w:space="0" w:color="auto"/>
            </w:tcBorders>
            <w:vAlign w:val="center"/>
          </w:tcPr>
          <w:p w:rsidR="002B017E" w:rsidRPr="00A02317" w:rsidRDefault="002B017E" w:rsidP="00535162">
            <w:pPr>
              <w:spacing w:after="0" w:line="240" w:lineRule="auto"/>
              <w:jc w:val="center"/>
              <w:rPr>
                <w:rFonts w:ascii="Arial" w:eastAsia="Times New Roman" w:hAnsi="Arial" w:cs="Arial"/>
                <w:color w:val="000000"/>
                <w:lang w:val="ka-GE"/>
              </w:rPr>
            </w:pPr>
            <w:r w:rsidRPr="00A02317">
              <w:rPr>
                <w:rFonts w:ascii="Arial" w:eastAsia="Times New Roman" w:hAnsi="Arial" w:cs="Arial"/>
                <w:color w:val="000000"/>
                <w:lang w:val="ka-GE"/>
              </w:rPr>
              <w:t>1</w:t>
            </w:r>
          </w:p>
        </w:tc>
        <w:tc>
          <w:tcPr>
            <w:tcW w:w="1285" w:type="dxa"/>
            <w:tcBorders>
              <w:top w:val="nil"/>
              <w:left w:val="nil"/>
              <w:bottom w:val="single" w:sz="4" w:space="0" w:color="auto"/>
              <w:right w:val="single" w:sz="4" w:space="0" w:color="auto"/>
            </w:tcBorders>
            <w:vAlign w:val="center"/>
          </w:tcPr>
          <w:p w:rsidR="002B017E" w:rsidRPr="00A77BF3"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5" w:type="dxa"/>
            <w:tcBorders>
              <w:top w:val="nil"/>
              <w:left w:val="nil"/>
              <w:bottom w:val="single" w:sz="4" w:space="0" w:color="auto"/>
              <w:right w:val="single" w:sz="4" w:space="0" w:color="auto"/>
            </w:tcBorders>
            <w:vAlign w:val="center"/>
          </w:tcPr>
          <w:p w:rsidR="002B017E" w:rsidRPr="00A77BF3"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Pr="00F82457" w:rsidRDefault="002B017E" w:rsidP="00535162">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11</w:t>
            </w:r>
          </w:p>
        </w:tc>
        <w:tc>
          <w:tcPr>
            <w:tcW w:w="1285" w:type="dxa"/>
            <w:tcBorders>
              <w:top w:val="nil"/>
              <w:left w:val="nil"/>
              <w:bottom w:val="single" w:sz="4" w:space="0" w:color="auto"/>
              <w:right w:val="single" w:sz="4" w:space="0" w:color="auto"/>
            </w:tcBorders>
            <w:vAlign w:val="center"/>
          </w:tcPr>
          <w:p w:rsidR="002B017E" w:rsidRPr="00F82457" w:rsidRDefault="002B017E" w:rsidP="00535162">
            <w:pPr>
              <w:spacing w:after="0" w:line="240" w:lineRule="auto"/>
              <w:jc w:val="center"/>
              <w:rPr>
                <w:rFonts w:ascii="Arial" w:eastAsia="Times New Roman" w:hAnsi="Arial" w:cs="Arial"/>
                <w:color w:val="000000"/>
                <w:lang w:val="ka-GE"/>
              </w:rPr>
            </w:pPr>
            <w:r w:rsidRPr="00F82457">
              <w:rPr>
                <w:rFonts w:ascii="Arial" w:eastAsia="Times New Roman" w:hAnsi="Arial" w:cs="Arial"/>
                <w:color w:val="000000"/>
                <w:lang w:val="ka-GE"/>
              </w:rPr>
              <w:t>0</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Default="002B017E" w:rsidP="005351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23.03</w:t>
            </w:r>
          </w:p>
        </w:tc>
        <w:tc>
          <w:tcPr>
            <w:tcW w:w="1285" w:type="dxa"/>
            <w:tcBorders>
              <w:top w:val="nil"/>
              <w:left w:val="nil"/>
              <w:bottom w:val="single" w:sz="4" w:space="0" w:color="auto"/>
              <w:right w:val="single" w:sz="4" w:space="0" w:color="auto"/>
            </w:tcBorders>
            <w:shd w:val="clear" w:color="auto" w:fill="auto"/>
            <w:noWrap/>
            <w:vAlign w:val="center"/>
          </w:tcPr>
          <w:p w:rsidR="002B017E" w:rsidRPr="00D6262C" w:rsidRDefault="002B017E" w:rsidP="00535162">
            <w:pPr>
              <w:spacing w:after="0" w:line="240" w:lineRule="auto"/>
              <w:jc w:val="center"/>
              <w:rPr>
                <w:rFonts w:eastAsia="Times New Roman" w:cs="Arial"/>
                <w:color w:val="000000"/>
                <w:lang w:val="ka-GE"/>
              </w:rPr>
            </w:pPr>
            <w:r w:rsidRPr="00D6262C">
              <w:rPr>
                <w:rFonts w:ascii="Arial" w:eastAsia="Times New Roman" w:hAnsi="Arial" w:cs="Arial"/>
                <w:color w:val="000000"/>
              </w:rPr>
              <w:t>103</w:t>
            </w:r>
          </w:p>
        </w:tc>
        <w:tc>
          <w:tcPr>
            <w:tcW w:w="1285" w:type="dxa"/>
            <w:tcBorders>
              <w:top w:val="nil"/>
              <w:left w:val="nil"/>
              <w:bottom w:val="single" w:sz="4" w:space="0" w:color="auto"/>
              <w:right w:val="single" w:sz="4" w:space="0" w:color="auto"/>
            </w:tcBorders>
            <w:vAlign w:val="center"/>
          </w:tcPr>
          <w:p w:rsidR="002B017E" w:rsidRPr="00445AC3"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7</w:t>
            </w:r>
          </w:p>
        </w:tc>
        <w:tc>
          <w:tcPr>
            <w:tcW w:w="1285" w:type="dxa"/>
            <w:tcBorders>
              <w:top w:val="nil"/>
              <w:left w:val="nil"/>
              <w:bottom w:val="single" w:sz="4" w:space="0" w:color="auto"/>
              <w:right w:val="single" w:sz="4" w:space="0" w:color="auto"/>
            </w:tcBorders>
            <w:vAlign w:val="center"/>
          </w:tcPr>
          <w:p w:rsidR="002B017E" w:rsidRPr="007D4A6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1285" w:type="dxa"/>
            <w:tcBorders>
              <w:top w:val="nil"/>
              <w:left w:val="nil"/>
              <w:bottom w:val="single" w:sz="4" w:space="0" w:color="auto"/>
              <w:right w:val="single" w:sz="4" w:space="0" w:color="auto"/>
            </w:tcBorders>
            <w:vAlign w:val="center"/>
          </w:tcPr>
          <w:p w:rsidR="002B017E" w:rsidRPr="007D4A6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2</w:t>
            </w:r>
          </w:p>
        </w:tc>
        <w:tc>
          <w:tcPr>
            <w:tcW w:w="1285" w:type="dxa"/>
            <w:tcBorders>
              <w:top w:val="nil"/>
              <w:left w:val="nil"/>
              <w:bottom w:val="single" w:sz="4" w:space="0" w:color="auto"/>
              <w:right w:val="single" w:sz="4" w:space="0" w:color="auto"/>
            </w:tcBorders>
            <w:vAlign w:val="center"/>
          </w:tcPr>
          <w:p w:rsidR="002B017E" w:rsidRPr="00B71CEE" w:rsidRDefault="002B017E" w:rsidP="00535162">
            <w:pPr>
              <w:spacing w:after="0" w:line="240" w:lineRule="auto"/>
              <w:jc w:val="center"/>
              <w:rPr>
                <w:rFonts w:ascii="Arial" w:eastAsia="Times New Roman" w:hAnsi="Arial" w:cs="Arial"/>
                <w:color w:val="000000"/>
              </w:rPr>
            </w:pPr>
            <w:r w:rsidRPr="00B71CEE">
              <w:rPr>
                <w:rFonts w:ascii="Arial" w:eastAsia="Times New Roman" w:hAnsi="Arial" w:cs="Arial"/>
                <w:color w:val="000000"/>
              </w:rPr>
              <w:t>10</w:t>
            </w:r>
          </w:p>
        </w:tc>
        <w:tc>
          <w:tcPr>
            <w:tcW w:w="1285" w:type="dxa"/>
            <w:tcBorders>
              <w:top w:val="nil"/>
              <w:left w:val="nil"/>
              <w:bottom w:val="single" w:sz="4" w:space="0" w:color="auto"/>
              <w:right w:val="single" w:sz="4" w:space="0" w:color="auto"/>
            </w:tcBorders>
            <w:vAlign w:val="center"/>
          </w:tcPr>
          <w:p w:rsidR="002B017E" w:rsidRPr="00B71CEE" w:rsidRDefault="002B017E" w:rsidP="00535162">
            <w:pPr>
              <w:spacing w:after="0" w:line="240" w:lineRule="auto"/>
              <w:jc w:val="center"/>
              <w:rPr>
                <w:rFonts w:ascii="Arial" w:eastAsia="Times New Roman" w:hAnsi="Arial" w:cs="Arial"/>
                <w:color w:val="000000"/>
              </w:rPr>
            </w:pPr>
            <w:r w:rsidRPr="00B71CEE">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Pr="007D4A6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21</w:t>
            </w:r>
          </w:p>
        </w:tc>
        <w:tc>
          <w:tcPr>
            <w:tcW w:w="1285" w:type="dxa"/>
            <w:tcBorders>
              <w:top w:val="nil"/>
              <w:left w:val="nil"/>
              <w:bottom w:val="single" w:sz="4" w:space="0" w:color="auto"/>
              <w:right w:val="single" w:sz="4" w:space="0" w:color="auto"/>
            </w:tcBorders>
            <w:vAlign w:val="center"/>
          </w:tcPr>
          <w:p w:rsidR="002B017E" w:rsidRPr="007D4A6B"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6</w:t>
            </w:r>
          </w:p>
        </w:tc>
      </w:tr>
      <w:tr w:rsidR="002B017E" w:rsidRPr="008534C0" w:rsidTr="002B017E">
        <w:trPr>
          <w:trHeight w:val="307"/>
        </w:trPr>
        <w:tc>
          <w:tcPr>
            <w:tcW w:w="829" w:type="dxa"/>
            <w:tcBorders>
              <w:top w:val="nil"/>
              <w:left w:val="single" w:sz="4" w:space="0" w:color="auto"/>
              <w:bottom w:val="single" w:sz="4" w:space="0" w:color="auto"/>
              <w:right w:val="single" w:sz="4" w:space="0" w:color="auto"/>
            </w:tcBorders>
            <w:shd w:val="clear" w:color="auto" w:fill="auto"/>
            <w:vAlign w:val="center"/>
          </w:tcPr>
          <w:p w:rsidR="002B017E" w:rsidRDefault="002B017E" w:rsidP="0053516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24.03</w:t>
            </w:r>
          </w:p>
        </w:tc>
        <w:tc>
          <w:tcPr>
            <w:tcW w:w="1285" w:type="dxa"/>
            <w:tcBorders>
              <w:top w:val="nil"/>
              <w:left w:val="nil"/>
              <w:bottom w:val="single" w:sz="4" w:space="0" w:color="auto"/>
              <w:right w:val="single" w:sz="4" w:space="0" w:color="auto"/>
            </w:tcBorders>
            <w:shd w:val="clear" w:color="auto" w:fill="auto"/>
            <w:noWrap/>
            <w:vAlign w:val="center"/>
          </w:tcPr>
          <w:p w:rsidR="002B017E" w:rsidRPr="006C7C81" w:rsidRDefault="002B017E" w:rsidP="00535162">
            <w:pPr>
              <w:spacing w:after="0" w:line="240" w:lineRule="auto"/>
              <w:jc w:val="center"/>
              <w:rPr>
                <w:rFonts w:ascii="Arial" w:eastAsia="Times New Roman" w:hAnsi="Arial" w:cs="Arial"/>
                <w:color w:val="000000"/>
              </w:rPr>
            </w:pPr>
            <w:r w:rsidRPr="006C7C81">
              <w:rPr>
                <w:rFonts w:ascii="Arial" w:eastAsia="Times New Roman" w:hAnsi="Arial" w:cs="Arial"/>
                <w:color w:val="000000"/>
              </w:rPr>
              <w:t>86</w:t>
            </w:r>
          </w:p>
        </w:tc>
        <w:tc>
          <w:tcPr>
            <w:tcW w:w="1285" w:type="dxa"/>
            <w:tcBorders>
              <w:top w:val="nil"/>
              <w:left w:val="nil"/>
              <w:bottom w:val="single" w:sz="4" w:space="0" w:color="auto"/>
              <w:right w:val="single" w:sz="4" w:space="0" w:color="auto"/>
            </w:tcBorders>
            <w:vAlign w:val="center"/>
          </w:tcPr>
          <w:p w:rsidR="002B017E" w:rsidRPr="006C7C81" w:rsidRDefault="002B017E" w:rsidP="00535162">
            <w:pPr>
              <w:spacing w:after="0" w:line="240" w:lineRule="auto"/>
              <w:jc w:val="center"/>
              <w:rPr>
                <w:rFonts w:ascii="Arial" w:eastAsia="Times New Roman" w:hAnsi="Arial" w:cs="Arial"/>
                <w:color w:val="000000"/>
              </w:rPr>
            </w:pPr>
            <w:r w:rsidRPr="006C7C81">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10</w:t>
            </w:r>
          </w:p>
        </w:tc>
        <w:tc>
          <w:tcPr>
            <w:tcW w:w="1285" w:type="dxa"/>
            <w:tcBorders>
              <w:top w:val="nil"/>
              <w:left w:val="nil"/>
              <w:bottom w:val="single" w:sz="4" w:space="0" w:color="auto"/>
              <w:right w:val="single" w:sz="4" w:space="0" w:color="auto"/>
            </w:tcBorders>
            <w:vAlign w:val="center"/>
          </w:tcPr>
          <w:p w:rsidR="002B017E"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1285" w:type="dxa"/>
            <w:tcBorders>
              <w:top w:val="nil"/>
              <w:left w:val="nil"/>
              <w:bottom w:val="single" w:sz="4" w:space="0" w:color="auto"/>
              <w:right w:val="single" w:sz="4" w:space="0" w:color="auto"/>
            </w:tcBorders>
            <w:vAlign w:val="center"/>
          </w:tcPr>
          <w:p w:rsidR="002B017E" w:rsidRPr="004C4156" w:rsidRDefault="002B017E" w:rsidP="00535162">
            <w:pPr>
              <w:spacing w:after="0" w:line="240" w:lineRule="auto"/>
              <w:jc w:val="center"/>
              <w:rPr>
                <w:rFonts w:ascii="Arial" w:eastAsia="Times New Roman" w:hAnsi="Arial" w:cs="Arial"/>
                <w:color w:val="000000"/>
              </w:rPr>
            </w:pPr>
            <w:r w:rsidRPr="004C4156">
              <w:rPr>
                <w:rFonts w:ascii="Arial" w:eastAsia="Times New Roman" w:hAnsi="Arial" w:cs="Arial"/>
                <w:color w:val="000000"/>
              </w:rPr>
              <w:t>10</w:t>
            </w:r>
          </w:p>
        </w:tc>
        <w:tc>
          <w:tcPr>
            <w:tcW w:w="1285" w:type="dxa"/>
            <w:tcBorders>
              <w:top w:val="nil"/>
              <w:left w:val="nil"/>
              <w:bottom w:val="single" w:sz="4" w:space="0" w:color="auto"/>
              <w:right w:val="single" w:sz="4" w:space="0" w:color="auto"/>
            </w:tcBorders>
            <w:vAlign w:val="center"/>
          </w:tcPr>
          <w:p w:rsidR="002B017E" w:rsidRPr="004C4156" w:rsidRDefault="002B017E" w:rsidP="00535162">
            <w:pPr>
              <w:spacing w:after="0" w:line="240" w:lineRule="auto"/>
              <w:jc w:val="center"/>
              <w:rPr>
                <w:rFonts w:ascii="Arial" w:eastAsia="Times New Roman" w:hAnsi="Arial" w:cs="Arial"/>
                <w:color w:val="000000"/>
              </w:rPr>
            </w:pPr>
            <w:r w:rsidRPr="004C4156">
              <w:rPr>
                <w:rFonts w:ascii="Arial" w:eastAsia="Times New Roman" w:hAnsi="Arial" w:cs="Arial"/>
                <w:color w:val="000000"/>
              </w:rPr>
              <w:t>0</w:t>
            </w:r>
          </w:p>
        </w:tc>
        <w:tc>
          <w:tcPr>
            <w:tcW w:w="1285" w:type="dxa"/>
            <w:tcBorders>
              <w:top w:val="nil"/>
              <w:left w:val="nil"/>
              <w:bottom w:val="single" w:sz="4" w:space="0" w:color="auto"/>
              <w:right w:val="single" w:sz="4" w:space="0" w:color="auto"/>
            </w:tcBorders>
            <w:vAlign w:val="center"/>
          </w:tcPr>
          <w:p w:rsidR="002B017E"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1285" w:type="dxa"/>
            <w:tcBorders>
              <w:top w:val="nil"/>
              <w:left w:val="nil"/>
              <w:bottom w:val="single" w:sz="4" w:space="0" w:color="auto"/>
              <w:right w:val="single" w:sz="4" w:space="0" w:color="auto"/>
            </w:tcBorders>
            <w:vAlign w:val="center"/>
          </w:tcPr>
          <w:p w:rsidR="002B017E" w:rsidRDefault="002B017E" w:rsidP="00535162">
            <w:pPr>
              <w:spacing w:after="0" w:line="240" w:lineRule="auto"/>
              <w:jc w:val="center"/>
              <w:rPr>
                <w:rFonts w:ascii="Arial" w:eastAsia="Times New Roman" w:hAnsi="Arial" w:cs="Arial"/>
                <w:color w:val="000000"/>
              </w:rPr>
            </w:pPr>
            <w:r>
              <w:rPr>
                <w:rFonts w:ascii="Arial" w:eastAsia="Times New Roman" w:hAnsi="Arial" w:cs="Arial"/>
                <w:color w:val="000000"/>
              </w:rPr>
              <w:t>9</w:t>
            </w:r>
          </w:p>
        </w:tc>
      </w:tr>
      <w:tr w:rsidR="002B017E" w:rsidRPr="007407E5" w:rsidTr="002B017E">
        <w:trPr>
          <w:trHeight w:val="307"/>
        </w:trPr>
        <w:tc>
          <w:tcPr>
            <w:tcW w:w="829" w:type="dxa"/>
            <w:tcBorders>
              <w:top w:val="single" w:sz="4" w:space="0" w:color="auto"/>
              <w:left w:val="single" w:sz="4" w:space="0" w:color="auto"/>
              <w:bottom w:val="single" w:sz="4" w:space="0" w:color="auto"/>
              <w:right w:val="single" w:sz="4" w:space="0" w:color="auto"/>
            </w:tcBorders>
            <w:shd w:val="clear" w:color="auto" w:fill="auto"/>
          </w:tcPr>
          <w:p w:rsidR="002B017E" w:rsidRPr="007407E5" w:rsidRDefault="002B017E" w:rsidP="00535162">
            <w:pPr>
              <w:spacing w:after="0" w:line="240" w:lineRule="auto"/>
              <w:rPr>
                <w:rFonts w:ascii="Calibri" w:eastAsia="Times New Roman" w:hAnsi="Calibri" w:cs="Calibri"/>
                <w:b/>
                <w:color w:val="000000"/>
                <w:sz w:val="24"/>
                <w:szCs w:val="24"/>
                <w:lang w:val="ka-GE"/>
              </w:rPr>
            </w:pPr>
            <w:r w:rsidRPr="007407E5">
              <w:rPr>
                <w:rFonts w:ascii="Calibri" w:eastAsia="Times New Roman" w:hAnsi="Calibri" w:cs="Calibri"/>
                <w:b/>
                <w:color w:val="000000"/>
                <w:sz w:val="24"/>
                <w:szCs w:val="24"/>
                <w:lang w:val="ka-GE"/>
              </w:rPr>
              <w:t>სულ</w:t>
            </w:r>
          </w:p>
        </w:tc>
        <w:tc>
          <w:tcPr>
            <w:tcW w:w="1285" w:type="dxa"/>
            <w:tcBorders>
              <w:top w:val="single" w:sz="4" w:space="0" w:color="auto"/>
              <w:left w:val="nil"/>
              <w:bottom w:val="single" w:sz="4" w:space="0" w:color="auto"/>
              <w:right w:val="single" w:sz="4" w:space="0" w:color="auto"/>
            </w:tcBorders>
            <w:shd w:val="clear" w:color="auto" w:fill="auto"/>
            <w:noWrap/>
            <w:vAlign w:val="center"/>
          </w:tcPr>
          <w:p w:rsidR="002B017E" w:rsidRPr="006C7C81" w:rsidRDefault="002B017E" w:rsidP="00535162">
            <w:pPr>
              <w:spacing w:after="0" w:line="240" w:lineRule="auto"/>
              <w:jc w:val="center"/>
              <w:rPr>
                <w:rFonts w:eastAsia="Times New Roman" w:cs="Arial"/>
                <w:b/>
                <w:color w:val="000000"/>
                <w:lang w:val="ka-GE"/>
              </w:rPr>
            </w:pPr>
            <w:r w:rsidRPr="006C7C81">
              <w:rPr>
                <w:rFonts w:ascii="Arial" w:eastAsia="Times New Roman" w:hAnsi="Arial" w:cs="Arial"/>
                <w:b/>
                <w:color w:val="000000"/>
              </w:rPr>
              <w:t>1033</w:t>
            </w:r>
          </w:p>
        </w:tc>
        <w:tc>
          <w:tcPr>
            <w:tcW w:w="1285" w:type="dxa"/>
            <w:tcBorders>
              <w:top w:val="single" w:sz="4" w:space="0" w:color="auto"/>
              <w:left w:val="nil"/>
              <w:bottom w:val="single" w:sz="4" w:space="0" w:color="auto"/>
              <w:right w:val="single" w:sz="4" w:space="0" w:color="auto"/>
            </w:tcBorders>
            <w:vAlign w:val="center"/>
          </w:tcPr>
          <w:p w:rsidR="002B017E" w:rsidRPr="004B3533" w:rsidRDefault="002B017E" w:rsidP="00535162">
            <w:pPr>
              <w:spacing w:after="0" w:line="240" w:lineRule="auto"/>
              <w:jc w:val="center"/>
              <w:rPr>
                <w:rFonts w:eastAsia="Times New Roman" w:cs="Arial"/>
                <w:b/>
                <w:color w:val="000000"/>
              </w:rPr>
            </w:pPr>
            <w:r>
              <w:rPr>
                <w:rFonts w:ascii="Arial" w:eastAsia="Times New Roman" w:hAnsi="Arial" w:cs="Arial"/>
                <w:b/>
                <w:color w:val="000000"/>
              </w:rPr>
              <w:t>56</w:t>
            </w:r>
          </w:p>
        </w:tc>
        <w:tc>
          <w:tcPr>
            <w:tcW w:w="1285" w:type="dxa"/>
            <w:tcBorders>
              <w:top w:val="single" w:sz="4" w:space="0" w:color="auto"/>
              <w:left w:val="nil"/>
              <w:bottom w:val="single" w:sz="4" w:space="0" w:color="auto"/>
              <w:right w:val="single" w:sz="4" w:space="0" w:color="auto"/>
            </w:tcBorders>
            <w:vAlign w:val="center"/>
          </w:tcPr>
          <w:p w:rsidR="002B017E" w:rsidRPr="00A02317" w:rsidRDefault="002B017E" w:rsidP="00535162">
            <w:pPr>
              <w:spacing w:after="0" w:line="240" w:lineRule="auto"/>
              <w:jc w:val="center"/>
              <w:rPr>
                <w:rFonts w:ascii="Arial" w:eastAsia="Times New Roman" w:hAnsi="Arial" w:cs="Arial"/>
                <w:b/>
                <w:color w:val="000000"/>
                <w:lang w:val="ka-GE"/>
              </w:rPr>
            </w:pPr>
            <w:r w:rsidRPr="00A02317">
              <w:rPr>
                <w:rFonts w:ascii="Arial" w:eastAsia="Times New Roman" w:hAnsi="Arial" w:cs="Arial"/>
                <w:b/>
                <w:color w:val="000000"/>
                <w:lang w:val="ka-GE"/>
              </w:rPr>
              <w:t>1</w:t>
            </w:r>
            <w:r>
              <w:rPr>
                <w:rFonts w:ascii="Arial" w:eastAsia="Times New Roman" w:hAnsi="Arial" w:cs="Arial"/>
                <w:b/>
                <w:color w:val="000000"/>
              </w:rPr>
              <w:t>37</w:t>
            </w:r>
          </w:p>
        </w:tc>
        <w:tc>
          <w:tcPr>
            <w:tcW w:w="1285" w:type="dxa"/>
            <w:tcBorders>
              <w:top w:val="single" w:sz="4" w:space="0" w:color="auto"/>
              <w:left w:val="nil"/>
              <w:bottom w:val="single" w:sz="4" w:space="0" w:color="auto"/>
              <w:right w:val="single" w:sz="4" w:space="0" w:color="auto"/>
            </w:tcBorders>
            <w:vAlign w:val="center"/>
          </w:tcPr>
          <w:p w:rsidR="002B017E" w:rsidRPr="004B3533" w:rsidRDefault="002B017E" w:rsidP="00535162">
            <w:pPr>
              <w:spacing w:after="0" w:line="240" w:lineRule="auto"/>
              <w:jc w:val="center"/>
              <w:rPr>
                <w:rFonts w:eastAsia="Times New Roman" w:cs="Arial"/>
                <w:b/>
                <w:color w:val="000000"/>
                <w:lang w:val="ka-GE"/>
              </w:rPr>
            </w:pPr>
            <w:r>
              <w:rPr>
                <w:rFonts w:ascii="Arial" w:eastAsia="Times New Roman" w:hAnsi="Arial" w:cs="Arial"/>
                <w:b/>
                <w:color w:val="000000"/>
                <w:lang w:val="ka-GE"/>
              </w:rPr>
              <w:t>8</w:t>
            </w:r>
          </w:p>
        </w:tc>
        <w:tc>
          <w:tcPr>
            <w:tcW w:w="1285" w:type="dxa"/>
            <w:tcBorders>
              <w:top w:val="single" w:sz="4" w:space="0" w:color="auto"/>
              <w:left w:val="nil"/>
              <w:bottom w:val="single" w:sz="4" w:space="0" w:color="auto"/>
              <w:right w:val="single" w:sz="4" w:space="0" w:color="auto"/>
            </w:tcBorders>
            <w:vAlign w:val="center"/>
          </w:tcPr>
          <w:p w:rsidR="002B017E" w:rsidRPr="00A77BF3" w:rsidRDefault="002B017E" w:rsidP="00535162">
            <w:pPr>
              <w:spacing w:after="0" w:line="240" w:lineRule="auto"/>
              <w:jc w:val="center"/>
              <w:rPr>
                <w:rFonts w:eastAsia="Times New Roman" w:cs="Arial"/>
                <w:b/>
                <w:color w:val="000000"/>
                <w:lang w:val="ka-GE"/>
              </w:rPr>
            </w:pPr>
            <w:r>
              <w:rPr>
                <w:rFonts w:ascii="Arial" w:eastAsia="Times New Roman" w:hAnsi="Arial" w:cs="Arial"/>
                <w:b/>
                <w:color w:val="000000"/>
              </w:rPr>
              <w:t>7</w:t>
            </w:r>
            <w:r>
              <w:rPr>
                <w:rFonts w:ascii="Arial" w:eastAsia="Times New Roman" w:hAnsi="Arial" w:cs="Arial"/>
                <w:b/>
                <w:color w:val="000000"/>
                <w:lang w:val="ka-GE"/>
              </w:rPr>
              <w:t>9</w:t>
            </w:r>
          </w:p>
        </w:tc>
        <w:tc>
          <w:tcPr>
            <w:tcW w:w="1285" w:type="dxa"/>
            <w:tcBorders>
              <w:top w:val="single" w:sz="4" w:space="0" w:color="auto"/>
              <w:left w:val="nil"/>
              <w:bottom w:val="single" w:sz="4" w:space="0" w:color="auto"/>
              <w:right w:val="single" w:sz="4" w:space="0" w:color="auto"/>
            </w:tcBorders>
            <w:vAlign w:val="center"/>
          </w:tcPr>
          <w:p w:rsidR="002B017E" w:rsidRPr="001E267B" w:rsidRDefault="002B017E" w:rsidP="00535162">
            <w:pPr>
              <w:spacing w:after="0" w:line="240" w:lineRule="auto"/>
              <w:jc w:val="center"/>
              <w:rPr>
                <w:rFonts w:ascii="Arial" w:eastAsia="Times New Roman" w:hAnsi="Arial" w:cs="Arial"/>
                <w:b/>
                <w:color w:val="000000"/>
              </w:rPr>
            </w:pPr>
            <w:r>
              <w:rPr>
                <w:rFonts w:ascii="Arial" w:eastAsia="Times New Roman" w:hAnsi="Arial" w:cs="Arial"/>
                <w:b/>
                <w:color w:val="000000"/>
              </w:rPr>
              <w:t>1</w:t>
            </w:r>
          </w:p>
        </w:tc>
        <w:tc>
          <w:tcPr>
            <w:tcW w:w="1285" w:type="dxa"/>
            <w:tcBorders>
              <w:top w:val="single" w:sz="4" w:space="0" w:color="auto"/>
              <w:left w:val="nil"/>
              <w:bottom w:val="single" w:sz="4" w:space="0" w:color="auto"/>
              <w:right w:val="single" w:sz="4" w:space="0" w:color="auto"/>
            </w:tcBorders>
            <w:vAlign w:val="center"/>
          </w:tcPr>
          <w:p w:rsidR="002B017E" w:rsidRPr="006C7C81" w:rsidRDefault="002B017E" w:rsidP="00535162">
            <w:pPr>
              <w:spacing w:after="0" w:line="240" w:lineRule="auto"/>
              <w:jc w:val="center"/>
              <w:rPr>
                <w:rFonts w:eastAsia="Times New Roman" w:cs="Arial"/>
                <w:b/>
                <w:color w:val="000000"/>
                <w:lang w:val="ka-GE"/>
              </w:rPr>
            </w:pPr>
            <w:r w:rsidRPr="006C7C81">
              <w:rPr>
                <w:rFonts w:ascii="Arial" w:eastAsia="Times New Roman" w:hAnsi="Arial" w:cs="Arial"/>
                <w:b/>
                <w:color w:val="000000"/>
                <w:lang w:val="ka-GE"/>
              </w:rPr>
              <w:t>207</w:t>
            </w:r>
          </w:p>
        </w:tc>
        <w:tc>
          <w:tcPr>
            <w:tcW w:w="1285" w:type="dxa"/>
            <w:tcBorders>
              <w:top w:val="single" w:sz="4" w:space="0" w:color="auto"/>
              <w:left w:val="nil"/>
              <w:bottom w:val="single" w:sz="4" w:space="0" w:color="auto"/>
              <w:right w:val="single" w:sz="4" w:space="0" w:color="auto"/>
            </w:tcBorders>
            <w:vAlign w:val="center"/>
          </w:tcPr>
          <w:p w:rsidR="002B017E" w:rsidRPr="006C7C81" w:rsidRDefault="002B017E" w:rsidP="00535162">
            <w:pPr>
              <w:spacing w:after="0" w:line="240" w:lineRule="auto"/>
              <w:jc w:val="center"/>
              <w:rPr>
                <w:rFonts w:eastAsia="Times New Roman" w:cs="Arial"/>
                <w:b/>
                <w:color w:val="000000"/>
                <w:lang w:val="ka-GE"/>
              </w:rPr>
            </w:pPr>
            <w:r w:rsidRPr="006C7C81">
              <w:rPr>
                <w:rFonts w:ascii="Arial" w:eastAsia="Times New Roman" w:hAnsi="Arial" w:cs="Arial"/>
                <w:b/>
                <w:color w:val="000000"/>
                <w:lang w:val="ka-GE"/>
              </w:rPr>
              <w:t>43</w:t>
            </w:r>
          </w:p>
        </w:tc>
      </w:tr>
    </w:tbl>
    <w:p w:rsidR="008003F1" w:rsidRDefault="008003F1" w:rsidP="00B97CB9">
      <w:pPr>
        <w:jc w:val="both"/>
        <w:rPr>
          <w:rFonts w:ascii="Sylfaen" w:hAnsi="Sylfaen"/>
          <w:b/>
          <w:bCs/>
          <w:sz w:val="24"/>
          <w:u w:val="single"/>
        </w:rPr>
      </w:pPr>
    </w:p>
    <w:p w:rsidR="0057782F" w:rsidRDefault="002B017E" w:rsidP="00B97CB9">
      <w:pPr>
        <w:jc w:val="both"/>
        <w:rPr>
          <w:rFonts w:ascii="Sylfaen" w:hAnsi="Sylfaen"/>
          <w:b/>
          <w:bCs/>
          <w:sz w:val="24"/>
          <w:u w:val="single"/>
        </w:rPr>
      </w:pPr>
      <w:r>
        <w:rPr>
          <w:noProof/>
        </w:rPr>
        <w:drawing>
          <wp:inline distT="0" distB="0" distL="0" distR="0" wp14:anchorId="1007E174" wp14:editId="1960E0A1">
            <wp:extent cx="6924675" cy="30861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782F" w:rsidRDefault="002B017E" w:rsidP="00B97CB9">
      <w:pPr>
        <w:jc w:val="both"/>
        <w:rPr>
          <w:rFonts w:ascii="Sylfaen" w:hAnsi="Sylfaen"/>
          <w:b/>
          <w:bCs/>
          <w:sz w:val="24"/>
          <w:u w:val="single"/>
        </w:rPr>
      </w:pPr>
      <w:r>
        <w:rPr>
          <w:noProof/>
        </w:rPr>
        <w:drawing>
          <wp:inline distT="0" distB="0" distL="0" distR="0" wp14:anchorId="50ECC330" wp14:editId="2608ED11">
            <wp:extent cx="6991350" cy="35623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03F1" w:rsidRDefault="008003F1" w:rsidP="00B97CB9">
      <w:pPr>
        <w:jc w:val="both"/>
        <w:rPr>
          <w:rFonts w:ascii="Sylfaen" w:hAnsi="Sylfaen"/>
          <w:b/>
          <w:bCs/>
          <w:sz w:val="24"/>
          <w:u w:val="single"/>
        </w:rPr>
      </w:pPr>
    </w:p>
    <w:p w:rsidR="008003F1" w:rsidRDefault="002B017E" w:rsidP="00B97CB9">
      <w:pPr>
        <w:jc w:val="both"/>
        <w:rPr>
          <w:rFonts w:ascii="Sylfaen" w:hAnsi="Sylfaen"/>
          <w:b/>
          <w:bCs/>
          <w:sz w:val="24"/>
          <w:u w:val="single"/>
        </w:rPr>
      </w:pPr>
      <w:r>
        <w:rPr>
          <w:noProof/>
        </w:rPr>
        <w:drawing>
          <wp:inline distT="0" distB="0" distL="0" distR="0" wp14:anchorId="71CFEB27" wp14:editId="507D3DF7">
            <wp:extent cx="6563995" cy="3037952"/>
            <wp:effectExtent l="0" t="0" r="8255"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page" w:horzAnchor="margin" w:tblpXSpec="center" w:tblpY="7051"/>
        <w:tblW w:w="8579" w:type="dxa"/>
        <w:tblLook w:val="04A0" w:firstRow="1" w:lastRow="0" w:firstColumn="1" w:lastColumn="0" w:noHBand="0" w:noVBand="1"/>
      </w:tblPr>
      <w:tblGrid>
        <w:gridCol w:w="2745"/>
        <w:gridCol w:w="2745"/>
        <w:gridCol w:w="3089"/>
      </w:tblGrid>
      <w:tr w:rsidR="002B017E" w:rsidRPr="00132979" w:rsidTr="00535162">
        <w:trPr>
          <w:trHeight w:val="225"/>
        </w:trPr>
        <w:tc>
          <w:tcPr>
            <w:tcW w:w="857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24.03.2020-ის მონაცემები</w:t>
            </w:r>
          </w:p>
        </w:tc>
      </w:tr>
      <w:tr w:rsidR="002B017E" w:rsidRPr="00132979" w:rsidTr="00535162">
        <w:trPr>
          <w:trHeight w:val="421"/>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რეგიონი</w:t>
            </w:r>
          </w:p>
        </w:tc>
        <w:tc>
          <w:tcPr>
            <w:tcW w:w="2745" w:type="dxa"/>
            <w:tcBorders>
              <w:top w:val="nil"/>
              <w:left w:val="nil"/>
              <w:bottom w:val="single" w:sz="8" w:space="0" w:color="auto"/>
              <w:right w:val="single" w:sz="8" w:space="0" w:color="auto"/>
            </w:tcBorders>
            <w:shd w:val="clear" w:color="auto" w:fill="auto"/>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თვითიზოლაციაში მყოფ პირთა რაოდენობა</w:t>
            </w:r>
          </w:p>
        </w:tc>
        <w:tc>
          <w:tcPr>
            <w:tcW w:w="3089" w:type="dxa"/>
            <w:tcBorders>
              <w:top w:val="nil"/>
              <w:left w:val="nil"/>
              <w:bottom w:val="single" w:sz="8" w:space="0" w:color="auto"/>
              <w:right w:val="single" w:sz="8" w:space="0" w:color="auto"/>
            </w:tcBorders>
            <w:shd w:val="clear" w:color="auto" w:fill="auto"/>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დაუმთვრდათ თვითიზოლაციის პერიოდი</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თბილისი</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1202</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26</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კახეთი</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403</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23</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ქვემო ქართლი</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331</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3</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შიდა ქართლი</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381</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5</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სამცხე-ჯავახეთი</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719</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10</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მცხეთა</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139</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12</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იმერეთი</w:t>
            </w:r>
          </w:p>
        </w:tc>
        <w:tc>
          <w:tcPr>
            <w:tcW w:w="2745" w:type="dxa"/>
            <w:tcBorders>
              <w:top w:val="nil"/>
              <w:left w:val="nil"/>
              <w:bottom w:val="nil"/>
              <w:right w:val="nil"/>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465</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55</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000000" w:fill="FFFFFF"/>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გურია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116</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0</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ქ. ფოთი</w:t>
            </w:r>
          </w:p>
        </w:tc>
        <w:tc>
          <w:tcPr>
            <w:tcW w:w="2745" w:type="dxa"/>
            <w:tcBorders>
              <w:top w:val="nil"/>
              <w:left w:val="nil"/>
              <w:bottom w:val="nil"/>
              <w:right w:val="nil"/>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38</w:t>
            </w:r>
          </w:p>
        </w:tc>
        <w:tc>
          <w:tcPr>
            <w:tcW w:w="3089" w:type="dxa"/>
            <w:tcBorders>
              <w:top w:val="nil"/>
              <w:left w:val="single" w:sz="8" w:space="0" w:color="auto"/>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აჭარა</w:t>
            </w:r>
          </w:p>
        </w:tc>
        <w:tc>
          <w:tcPr>
            <w:tcW w:w="2745" w:type="dxa"/>
            <w:tcBorders>
              <w:top w:val="single" w:sz="8" w:space="0" w:color="auto"/>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142</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136</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რაჭა</w:t>
            </w:r>
          </w:p>
        </w:tc>
        <w:tc>
          <w:tcPr>
            <w:tcW w:w="2745"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40</w:t>
            </w:r>
          </w:p>
        </w:tc>
        <w:tc>
          <w:tcPr>
            <w:tcW w:w="3089" w:type="dxa"/>
            <w:tcBorders>
              <w:top w:val="nil"/>
              <w:left w:val="nil"/>
              <w:bottom w:val="single" w:sz="8" w:space="0" w:color="auto"/>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1</w:t>
            </w:r>
          </w:p>
        </w:tc>
      </w:tr>
      <w:tr w:rsidR="002B017E" w:rsidRPr="00132979" w:rsidTr="00535162">
        <w:trPr>
          <w:trHeight w:val="214"/>
        </w:trPr>
        <w:tc>
          <w:tcPr>
            <w:tcW w:w="2745" w:type="dxa"/>
            <w:tcBorders>
              <w:top w:val="nil"/>
              <w:left w:val="single" w:sz="8" w:space="0" w:color="auto"/>
              <w:bottom w:val="single" w:sz="8" w:space="0" w:color="auto"/>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სამეგრელო ზემ.სვან.</w:t>
            </w:r>
          </w:p>
        </w:tc>
        <w:tc>
          <w:tcPr>
            <w:tcW w:w="2745" w:type="dxa"/>
            <w:tcBorders>
              <w:top w:val="nil"/>
              <w:left w:val="nil"/>
              <w:bottom w:val="nil"/>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439</w:t>
            </w:r>
          </w:p>
        </w:tc>
        <w:tc>
          <w:tcPr>
            <w:tcW w:w="3089" w:type="dxa"/>
            <w:tcBorders>
              <w:top w:val="nil"/>
              <w:left w:val="nil"/>
              <w:bottom w:val="nil"/>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85</w:t>
            </w:r>
          </w:p>
        </w:tc>
      </w:tr>
      <w:tr w:rsidR="002B017E" w:rsidRPr="00132979" w:rsidTr="00535162">
        <w:trPr>
          <w:trHeight w:val="501"/>
        </w:trPr>
        <w:tc>
          <w:tcPr>
            <w:tcW w:w="274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სულ:</w:t>
            </w:r>
          </w:p>
        </w:tc>
        <w:tc>
          <w:tcPr>
            <w:tcW w:w="274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4415</w:t>
            </w:r>
          </w:p>
        </w:tc>
        <w:tc>
          <w:tcPr>
            <w:tcW w:w="30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2B017E" w:rsidRPr="00132979" w:rsidRDefault="002B017E" w:rsidP="002B017E">
            <w:pPr>
              <w:jc w:val="both"/>
              <w:rPr>
                <w:rFonts w:ascii="Sylfaen" w:hAnsi="Sylfaen"/>
                <w:bCs/>
                <w:sz w:val="20"/>
                <w:u w:val="single"/>
                <w:lang w:val="ka-GE"/>
              </w:rPr>
            </w:pPr>
            <w:r w:rsidRPr="00132979">
              <w:rPr>
                <w:rFonts w:ascii="Sylfaen" w:hAnsi="Sylfaen"/>
                <w:bCs/>
                <w:sz w:val="20"/>
                <w:u w:val="single"/>
                <w:lang w:val="ka-GE"/>
              </w:rPr>
              <w:t>357</w:t>
            </w:r>
          </w:p>
        </w:tc>
      </w:tr>
      <w:tr w:rsidR="002B017E" w:rsidRPr="00132979" w:rsidTr="00535162">
        <w:trPr>
          <w:trHeight w:val="501"/>
        </w:trPr>
        <w:tc>
          <w:tcPr>
            <w:tcW w:w="2745" w:type="dxa"/>
            <w:vMerge/>
            <w:tcBorders>
              <w:top w:val="nil"/>
              <w:left w:val="single" w:sz="8" w:space="0" w:color="auto"/>
              <w:bottom w:val="single" w:sz="8" w:space="0" w:color="000000"/>
              <w:right w:val="single" w:sz="8" w:space="0" w:color="auto"/>
            </w:tcBorders>
            <w:vAlign w:val="center"/>
            <w:hideMark/>
          </w:tcPr>
          <w:p w:rsidR="002B017E" w:rsidRPr="00132979" w:rsidRDefault="002B017E" w:rsidP="002B017E">
            <w:pPr>
              <w:jc w:val="both"/>
              <w:rPr>
                <w:rFonts w:ascii="Sylfaen" w:hAnsi="Sylfaen"/>
                <w:bCs/>
                <w:sz w:val="20"/>
                <w:u w:val="single"/>
                <w:lang w:val="ka-GE"/>
              </w:rPr>
            </w:pPr>
          </w:p>
        </w:tc>
        <w:tc>
          <w:tcPr>
            <w:tcW w:w="2745" w:type="dxa"/>
            <w:vMerge/>
            <w:tcBorders>
              <w:top w:val="single" w:sz="8" w:space="0" w:color="auto"/>
              <w:left w:val="single" w:sz="8" w:space="0" w:color="auto"/>
              <w:bottom w:val="single" w:sz="8" w:space="0" w:color="000000"/>
              <w:right w:val="single" w:sz="8" w:space="0" w:color="auto"/>
            </w:tcBorders>
            <w:vAlign w:val="center"/>
          </w:tcPr>
          <w:p w:rsidR="002B017E" w:rsidRPr="00132979" w:rsidRDefault="002B017E" w:rsidP="002B017E">
            <w:pPr>
              <w:jc w:val="both"/>
              <w:rPr>
                <w:rFonts w:ascii="Sylfaen" w:hAnsi="Sylfaen"/>
                <w:bCs/>
                <w:sz w:val="20"/>
                <w:u w:val="single"/>
                <w:lang w:val="ka-GE"/>
              </w:rPr>
            </w:pPr>
          </w:p>
        </w:tc>
        <w:tc>
          <w:tcPr>
            <w:tcW w:w="3089" w:type="dxa"/>
            <w:vMerge/>
            <w:tcBorders>
              <w:top w:val="single" w:sz="8" w:space="0" w:color="auto"/>
              <w:left w:val="single" w:sz="8" w:space="0" w:color="auto"/>
              <w:bottom w:val="single" w:sz="8" w:space="0" w:color="000000"/>
              <w:right w:val="single" w:sz="8" w:space="0" w:color="auto"/>
            </w:tcBorders>
            <w:vAlign w:val="center"/>
          </w:tcPr>
          <w:p w:rsidR="002B017E" w:rsidRPr="00132979" w:rsidRDefault="002B017E" w:rsidP="002B017E">
            <w:pPr>
              <w:jc w:val="both"/>
              <w:rPr>
                <w:rFonts w:ascii="Sylfaen" w:hAnsi="Sylfaen"/>
                <w:bCs/>
                <w:sz w:val="20"/>
                <w:u w:val="single"/>
                <w:lang w:val="ka-GE"/>
              </w:rPr>
            </w:pPr>
          </w:p>
        </w:tc>
      </w:tr>
    </w:tbl>
    <w:p w:rsidR="008003F1" w:rsidRDefault="008003F1" w:rsidP="00B97CB9">
      <w:pPr>
        <w:jc w:val="both"/>
        <w:rPr>
          <w:rFonts w:ascii="Sylfaen" w:hAnsi="Sylfaen"/>
          <w:b/>
          <w:bCs/>
          <w:sz w:val="24"/>
          <w:u w:val="single"/>
        </w:rPr>
      </w:pPr>
    </w:p>
    <w:p w:rsidR="008003F1" w:rsidRPr="005442A1" w:rsidRDefault="008003F1" w:rsidP="00B97CB9">
      <w:pPr>
        <w:jc w:val="both"/>
        <w:rPr>
          <w:rFonts w:ascii="Sylfaen" w:hAnsi="Sylfaen"/>
          <w:b/>
          <w:bCs/>
          <w:sz w:val="24"/>
          <w:u w:val="single"/>
        </w:rPr>
      </w:pPr>
    </w:p>
    <w:p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rsidR="00632D39" w:rsidRPr="00DA7131" w:rsidRDefault="004D34D5" w:rsidP="00B97CB9">
      <w:pPr>
        <w:jc w:val="both"/>
        <w:rPr>
          <w:rFonts w:ascii="Sylfaen" w:hAnsi="Sylfaen"/>
          <w:bCs/>
          <w:sz w:val="24"/>
          <w:lang w:val="ka-GE"/>
        </w:rPr>
      </w:pPr>
      <w:r>
        <w:rPr>
          <w:rFonts w:ascii="Sylfaen" w:hAnsi="Sylfaen"/>
          <w:bCs/>
          <w:sz w:val="24"/>
        </w:rPr>
        <w:lastRenderedPageBreak/>
        <w:t>25</w:t>
      </w:r>
      <w:r w:rsidR="00A95BE4" w:rsidRPr="00DA7131">
        <w:rPr>
          <w:rFonts w:ascii="Sylfaen" w:hAnsi="Sylfaen"/>
          <w:bCs/>
          <w:sz w:val="24"/>
          <w:lang w:val="ka-GE"/>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დაფიქსირებულია </w:t>
      </w:r>
      <w:r w:rsidR="007776F2">
        <w:rPr>
          <w:rFonts w:ascii="Sylfaen" w:hAnsi="Sylfaen"/>
          <w:b/>
          <w:bCs/>
          <w:sz w:val="24"/>
          <w:u w:val="single"/>
          <w:lang w:val="ka-GE"/>
        </w:rPr>
        <w:t>47</w:t>
      </w:r>
      <w:r w:rsidR="005A7120" w:rsidRPr="00DA7131">
        <w:rPr>
          <w:rFonts w:ascii="Sylfaen" w:hAnsi="Sylfaen"/>
          <w:bCs/>
          <w:sz w:val="24"/>
          <w:lang w:val="ka-GE"/>
        </w:rPr>
        <w:t xml:space="preserve"> ახალი</w:t>
      </w:r>
      <w:r w:rsidR="00632D39" w:rsidRPr="00DA7131">
        <w:rPr>
          <w:rFonts w:ascii="Sylfaen" w:hAnsi="Sylfaen"/>
          <w:bCs/>
          <w:sz w:val="24"/>
          <w:lang w:val="ka-GE"/>
        </w:rPr>
        <w:t xml:space="preserve"> შემთხვევა </w:t>
      </w:r>
    </w:p>
    <w:p w:rsidR="00632D39" w:rsidRPr="00DA7131" w:rsidRDefault="002E1E14" w:rsidP="00B97CB9">
      <w:pPr>
        <w:jc w:val="both"/>
        <w:rPr>
          <w:rFonts w:ascii="Sylfaen" w:hAnsi="Sylfaen"/>
          <w:bCs/>
          <w:sz w:val="24"/>
          <w:lang w:val="ka-GE"/>
        </w:rPr>
      </w:pPr>
      <w:r>
        <w:rPr>
          <w:rFonts w:ascii="Sylfaen" w:hAnsi="Sylfaen"/>
          <w:bCs/>
          <w:sz w:val="24"/>
        </w:rPr>
        <w:t>2</w:t>
      </w:r>
      <w:r w:rsidR="004D34D5">
        <w:rPr>
          <w:rFonts w:ascii="Sylfaen" w:hAnsi="Sylfaen"/>
          <w:bCs/>
          <w:sz w:val="24"/>
        </w:rPr>
        <w:t>5</w:t>
      </w:r>
      <w:r w:rsidR="00F03F0A">
        <w:rPr>
          <w:rFonts w:ascii="Sylfaen" w:hAnsi="Sylfaen"/>
          <w:bCs/>
          <w:sz w:val="24"/>
        </w:rPr>
        <w:t xml:space="preserve"> </w:t>
      </w:r>
      <w:r w:rsidR="00632D39" w:rsidRPr="00DA7131">
        <w:rPr>
          <w:rFonts w:ascii="Sylfaen" w:hAnsi="Sylfaen"/>
          <w:bCs/>
          <w:sz w:val="24"/>
          <w:lang w:val="ka-GE"/>
        </w:rPr>
        <w:t xml:space="preserve">მარტის   მონაცემებით სულ დადასტურებულია </w:t>
      </w:r>
      <w:r w:rsidR="005442A1">
        <w:rPr>
          <w:rFonts w:ascii="Sylfaen" w:hAnsi="Sylfaen"/>
          <w:b/>
          <w:bCs/>
          <w:sz w:val="24"/>
          <w:u w:val="single"/>
        </w:rPr>
        <w:t xml:space="preserve">81 </w:t>
      </w:r>
      <w:r w:rsidR="007776F2">
        <w:rPr>
          <w:rFonts w:ascii="Sylfaen" w:hAnsi="Sylfaen"/>
          <w:b/>
          <w:bCs/>
          <w:sz w:val="24"/>
          <w:u w:val="single"/>
        </w:rPr>
        <w:t>218</w:t>
      </w:r>
      <w:r w:rsidR="00D55C95" w:rsidRPr="00DA7131">
        <w:rPr>
          <w:rFonts w:ascii="Sylfaen" w:hAnsi="Sylfaen"/>
          <w:b/>
          <w:bCs/>
          <w:sz w:val="24"/>
          <w:u w:val="single"/>
        </w:rPr>
        <w:t xml:space="preserve"> </w:t>
      </w:r>
      <w:r w:rsidR="005A7120" w:rsidRPr="00DA7131">
        <w:rPr>
          <w:rFonts w:ascii="Sylfaen" w:hAnsi="Sylfaen"/>
          <w:b/>
          <w:bCs/>
          <w:sz w:val="24"/>
          <w:u w:val="single"/>
          <w:lang w:val="ka-GE"/>
        </w:rPr>
        <w:t>შემთხვევა</w:t>
      </w:r>
    </w:p>
    <w:p w:rsidR="00632D39" w:rsidRPr="00DA7131" w:rsidRDefault="002E1E14" w:rsidP="00B97CB9">
      <w:pPr>
        <w:jc w:val="both"/>
        <w:rPr>
          <w:rFonts w:ascii="Sylfaen" w:hAnsi="Sylfaen"/>
          <w:b/>
          <w:bCs/>
          <w:sz w:val="24"/>
          <w:u w:val="single"/>
          <w:lang w:val="ka-GE"/>
        </w:rPr>
      </w:pPr>
      <w:r>
        <w:rPr>
          <w:rFonts w:ascii="Sylfaen" w:hAnsi="Sylfaen"/>
          <w:bCs/>
          <w:sz w:val="24"/>
        </w:rPr>
        <w:t>2</w:t>
      </w:r>
      <w:r w:rsidR="004D34D5">
        <w:rPr>
          <w:rFonts w:ascii="Sylfaen" w:hAnsi="Sylfaen"/>
          <w:bCs/>
          <w:sz w:val="24"/>
        </w:rPr>
        <w:t>5</w:t>
      </w:r>
      <w:r w:rsidR="00204FD7" w:rsidRPr="00DA7131">
        <w:rPr>
          <w:rFonts w:ascii="Sylfaen" w:hAnsi="Sylfaen"/>
          <w:bCs/>
          <w:sz w:val="24"/>
        </w:rPr>
        <w:t xml:space="preserve"> </w:t>
      </w:r>
      <w:r w:rsidR="005A7120" w:rsidRPr="00DA7131">
        <w:rPr>
          <w:rFonts w:ascii="Sylfaen" w:hAnsi="Sylfaen"/>
          <w:bCs/>
          <w:sz w:val="24"/>
          <w:lang w:val="ka-GE"/>
        </w:rPr>
        <w:t>მარტის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7776F2">
        <w:rPr>
          <w:rFonts w:ascii="Sylfaen" w:hAnsi="Sylfaen"/>
          <w:b/>
          <w:bCs/>
          <w:sz w:val="24"/>
          <w:u w:val="single"/>
        </w:rPr>
        <w:t>33</w:t>
      </w:r>
      <w:r w:rsidR="00632D39" w:rsidRPr="00DA7131">
        <w:rPr>
          <w:rFonts w:ascii="Sylfaen" w:hAnsi="Sylfaen"/>
          <w:b/>
          <w:bCs/>
          <w:sz w:val="24"/>
          <w:u w:val="single"/>
          <w:lang w:val="ka-GE"/>
        </w:rPr>
        <w:t>-ს</w:t>
      </w:r>
    </w:p>
    <w:p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EB0DB4" w:rsidRPr="00DA7131">
        <w:rPr>
          <w:rFonts w:ascii="Sylfaen" w:hAnsi="Sylfaen"/>
          <w:b/>
          <w:bCs/>
          <w:sz w:val="24"/>
          <w:u w:val="single"/>
        </w:rPr>
        <w:t>1</w:t>
      </w:r>
      <w:r w:rsidR="007776F2">
        <w:rPr>
          <w:rFonts w:ascii="Sylfaen" w:hAnsi="Sylfaen"/>
          <w:b/>
          <w:bCs/>
          <w:sz w:val="24"/>
          <w:u w:val="single"/>
        </w:rPr>
        <w:t>34</w:t>
      </w:r>
      <w:r w:rsidR="00396491" w:rsidRPr="00DA7131">
        <w:rPr>
          <w:rFonts w:ascii="Sylfaen" w:hAnsi="Sylfaen"/>
          <w:b/>
          <w:bCs/>
          <w:sz w:val="24"/>
          <w:u w:val="single"/>
          <w:lang w:val="ka-GE"/>
        </w:rPr>
        <w:t>-</w:t>
      </w:r>
      <w:r w:rsidRPr="00DA7131">
        <w:rPr>
          <w:rFonts w:ascii="Sylfaen" w:hAnsi="Sylfaen"/>
          <w:b/>
          <w:bCs/>
          <w:sz w:val="24"/>
          <w:u w:val="single"/>
          <w:lang w:val="ka-GE"/>
        </w:rPr>
        <w:t>ს</w:t>
      </w:r>
    </w:p>
    <w:p w:rsidR="00632D39" w:rsidRDefault="002E1E14" w:rsidP="00B97CB9">
      <w:pPr>
        <w:jc w:val="both"/>
        <w:rPr>
          <w:rFonts w:ascii="Sylfaen" w:hAnsi="Sylfaen"/>
          <w:bCs/>
          <w:sz w:val="24"/>
        </w:rPr>
      </w:pPr>
      <w:r>
        <w:rPr>
          <w:rFonts w:ascii="Sylfaen" w:hAnsi="Sylfaen"/>
          <w:bCs/>
          <w:sz w:val="24"/>
        </w:rPr>
        <w:t>2</w:t>
      </w:r>
      <w:r w:rsidR="004D34D5">
        <w:rPr>
          <w:rFonts w:ascii="Sylfaen" w:hAnsi="Sylfaen"/>
          <w:bCs/>
          <w:sz w:val="24"/>
          <w:lang w:val="ka-GE"/>
        </w:rPr>
        <w:t>5</w:t>
      </w:r>
      <w:r w:rsidR="00632D39" w:rsidRPr="00DA7131">
        <w:rPr>
          <w:rFonts w:ascii="Sylfaen" w:hAnsi="Sylfaen"/>
          <w:bCs/>
          <w:sz w:val="24"/>
          <w:lang w:val="ka-GE"/>
        </w:rPr>
        <w:t xml:space="preserve"> მარტის   მონაცემებით დაფიქსირებულია ახალი სიკვდილის</w:t>
      </w:r>
      <w:r w:rsidR="00D2219C" w:rsidRPr="00DA7131">
        <w:rPr>
          <w:rFonts w:ascii="Sylfaen" w:hAnsi="Sylfaen"/>
          <w:bCs/>
          <w:sz w:val="24"/>
        </w:rPr>
        <w:t xml:space="preserve"> </w:t>
      </w:r>
      <w:r w:rsidR="007776F2">
        <w:rPr>
          <w:rFonts w:ascii="Sylfaen" w:hAnsi="Sylfaen"/>
          <w:b/>
          <w:bCs/>
          <w:sz w:val="24"/>
          <w:u w:val="single"/>
        </w:rPr>
        <w:t>4</w:t>
      </w:r>
      <w:r w:rsidR="00632D39" w:rsidRPr="00DA7131">
        <w:rPr>
          <w:rFonts w:ascii="Sylfaen" w:hAnsi="Sylfaen"/>
          <w:bCs/>
          <w:sz w:val="24"/>
          <w:lang w:val="ka-GE"/>
        </w:rPr>
        <w:t xml:space="preserve"> შემთხვევა, სულ </w:t>
      </w:r>
      <w:r w:rsidR="00396491" w:rsidRPr="00DA7131">
        <w:rPr>
          <w:rFonts w:ascii="Sylfaen" w:hAnsi="Sylfaen"/>
          <w:b/>
          <w:bCs/>
          <w:sz w:val="24"/>
          <w:u w:val="single"/>
          <w:lang w:val="ka-GE"/>
        </w:rPr>
        <w:t xml:space="preserve">3 </w:t>
      </w:r>
      <w:r w:rsidR="00A761A1" w:rsidRPr="00DA7131">
        <w:rPr>
          <w:rFonts w:ascii="Sylfaen" w:hAnsi="Sylfaen"/>
          <w:b/>
          <w:bCs/>
          <w:sz w:val="24"/>
          <w:u w:val="single"/>
          <w:lang w:val="ka-GE"/>
        </w:rPr>
        <w:t>2</w:t>
      </w:r>
      <w:r w:rsidR="007776F2">
        <w:rPr>
          <w:rFonts w:ascii="Sylfaen" w:hAnsi="Sylfaen"/>
          <w:b/>
          <w:bCs/>
          <w:sz w:val="24"/>
          <w:u w:val="single"/>
        </w:rPr>
        <w:t>81</w:t>
      </w:r>
      <w:r w:rsidR="00632D39" w:rsidRPr="00DA7131">
        <w:rPr>
          <w:rFonts w:ascii="Sylfaen" w:hAnsi="Sylfaen"/>
          <w:bCs/>
          <w:sz w:val="24"/>
          <w:lang w:val="ka-GE"/>
        </w:rPr>
        <w:t xml:space="preserve"> და გამოჯანმრთელების ახალი </w:t>
      </w:r>
      <w:r w:rsidR="007776F2">
        <w:rPr>
          <w:rFonts w:ascii="Sylfaen" w:hAnsi="Sylfaen"/>
          <w:b/>
          <w:bCs/>
          <w:sz w:val="24"/>
          <w:u w:val="single"/>
          <w:lang w:val="ka-GE"/>
        </w:rPr>
        <w:t>491</w:t>
      </w:r>
      <w:r w:rsidR="00852279" w:rsidRPr="00DA7131">
        <w:rPr>
          <w:rFonts w:ascii="Sylfaen" w:hAnsi="Sylfaen"/>
          <w:b/>
          <w:bCs/>
          <w:sz w:val="24"/>
          <w:u w:val="single"/>
        </w:rPr>
        <w:t xml:space="preserve"> სულ</w:t>
      </w:r>
      <w:r w:rsidR="005A7120" w:rsidRPr="00DA7131">
        <w:rPr>
          <w:rFonts w:ascii="Sylfaen" w:hAnsi="Sylfaen"/>
          <w:bCs/>
          <w:sz w:val="24"/>
          <w:lang w:val="ka-GE"/>
        </w:rPr>
        <w:t xml:space="preserve"> </w:t>
      </w:r>
      <w:r w:rsidR="007776F2">
        <w:rPr>
          <w:rFonts w:ascii="Sylfaen" w:hAnsi="Sylfaen"/>
          <w:b/>
          <w:bCs/>
          <w:sz w:val="24"/>
          <w:u w:val="single"/>
        </w:rPr>
        <w:t>73 650</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rsidR="00AA05AB" w:rsidRPr="007776F2"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7776F2">
        <w:rPr>
          <w:rFonts w:ascii="Sylfaen" w:hAnsi="Sylfaen"/>
          <w:bCs/>
          <w:sz w:val="24"/>
          <w:lang w:val="ka-GE"/>
        </w:rPr>
        <w:t>: 474</w:t>
      </w:r>
      <w:r>
        <w:rPr>
          <w:rFonts w:ascii="Sylfaen" w:hAnsi="Sylfaen"/>
          <w:bCs/>
          <w:sz w:val="24"/>
          <w:lang w:val="ka-GE"/>
        </w:rPr>
        <w:t xml:space="preserve">, ახალი </w:t>
      </w:r>
      <w:r w:rsidR="007776F2">
        <w:rPr>
          <w:rFonts w:ascii="Sylfaen" w:hAnsi="Sylfaen"/>
          <w:bCs/>
          <w:sz w:val="24"/>
          <w:lang w:val="ka-GE"/>
        </w:rPr>
        <w:t>47</w:t>
      </w:r>
    </w:p>
    <w:p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DA7131">
        <w:rPr>
          <w:rFonts w:ascii="Sylfaen" w:hAnsi="Sylfaen"/>
          <w:b/>
          <w:bCs/>
          <w:sz w:val="24"/>
          <w:u w:val="single"/>
        </w:rPr>
        <w:t>ის მონაცემები</w:t>
      </w:r>
      <w:r w:rsidRPr="00DA7131">
        <w:rPr>
          <w:rFonts w:ascii="Sylfaen" w:hAnsi="Sylfaen"/>
          <w:b/>
          <w:bCs/>
          <w:sz w:val="24"/>
          <w:u w:val="single"/>
          <w:lang w:val="ka-GE"/>
        </w:rPr>
        <w:t xml:space="preserve">თ </w:t>
      </w:r>
    </w:p>
    <w:p w:rsidR="00070099" w:rsidRPr="00DA7131" w:rsidRDefault="00070099" w:rsidP="00070099">
      <w:pPr>
        <w:tabs>
          <w:tab w:val="left" w:pos="3150"/>
        </w:tabs>
        <w:jc w:val="both"/>
        <w:rPr>
          <w:rFonts w:ascii="Sylfaen" w:hAnsi="Sylfaen"/>
          <w:b/>
          <w:bCs/>
          <w:sz w:val="24"/>
          <w:u w:val="single"/>
          <w:lang w:val="ka-GE"/>
        </w:rPr>
      </w:pPr>
      <w:r w:rsidRPr="00DA7131">
        <w:rPr>
          <w:rFonts w:ascii="Sylfaen" w:hAnsi="Sylfaen"/>
          <w:sz w:val="24"/>
        </w:rPr>
        <w:t>ECDC</w:t>
      </w:r>
      <w:r w:rsidRPr="00DA7131">
        <w:rPr>
          <w:rFonts w:ascii="Sylfaen" w:hAnsi="Sylfaen"/>
          <w:sz w:val="24"/>
          <w:lang w:val="ka-GE"/>
        </w:rPr>
        <w:t xml:space="preserve">- ის </w:t>
      </w:r>
      <w:r w:rsidR="004D34D5">
        <w:rPr>
          <w:rFonts w:ascii="Sylfaen" w:hAnsi="Sylfaen"/>
          <w:sz w:val="24"/>
        </w:rPr>
        <w:t>24</w:t>
      </w:r>
      <w:r w:rsidR="0038500E">
        <w:rPr>
          <w:rFonts w:ascii="Sylfaen" w:hAnsi="Sylfaen"/>
          <w:sz w:val="24"/>
        </w:rPr>
        <w:t xml:space="preserve"> </w:t>
      </w:r>
      <w:r w:rsidRPr="00DA7131">
        <w:rPr>
          <w:rFonts w:ascii="Sylfaen" w:hAnsi="Sylfaen"/>
          <w:sz w:val="24"/>
          <w:lang w:val="ka-GE"/>
        </w:rPr>
        <w:t xml:space="preserve">მარტის ინფორმაციით, მსოფლიო მასშტაბით დაფიქსირდა ახალი </w:t>
      </w:r>
      <w:r w:rsidR="00C92A28">
        <w:rPr>
          <w:rFonts w:ascii="Sylfaen" w:hAnsi="Sylfaen"/>
          <w:b/>
          <w:sz w:val="24"/>
          <w:u w:val="single"/>
        </w:rPr>
        <w:t xml:space="preserve">39 738 </w:t>
      </w:r>
      <w:r w:rsidRPr="00DA7131">
        <w:rPr>
          <w:rFonts w:ascii="Sylfaen" w:hAnsi="Sylfaen"/>
          <w:b/>
          <w:sz w:val="24"/>
          <w:u w:val="single"/>
        </w:rPr>
        <w:t>შემთხვევა</w:t>
      </w:r>
      <w:r w:rsidRPr="00DA7131">
        <w:rPr>
          <w:rFonts w:ascii="Sylfaen" w:hAnsi="Sylfaen"/>
          <w:sz w:val="24"/>
          <w:lang w:val="ka-GE"/>
        </w:rPr>
        <w:t xml:space="preserve"> სულ დაფიქსირებულია </w:t>
      </w:r>
      <w:r w:rsidR="00C92A28">
        <w:rPr>
          <w:rFonts w:ascii="Sylfaen" w:hAnsi="Sylfaen"/>
          <w:b/>
          <w:bCs/>
          <w:sz w:val="24"/>
          <w:u w:val="single"/>
        </w:rPr>
        <w:t>378 041</w:t>
      </w:r>
      <w:r w:rsidR="0038500E" w:rsidRPr="0038500E">
        <w:rPr>
          <w:rFonts w:ascii="Sylfaen" w:hAnsi="Sylfaen"/>
          <w:b/>
          <w:bCs/>
          <w:sz w:val="24"/>
          <w:u w:val="single"/>
          <w:lang w:val="ka-GE"/>
        </w:rPr>
        <w:t xml:space="preserve"> </w:t>
      </w:r>
      <w:r w:rsidR="008E7011" w:rsidRPr="00DA7131">
        <w:rPr>
          <w:rFonts w:ascii="Sylfaen" w:hAnsi="Sylfaen"/>
          <w:b/>
          <w:bCs/>
          <w:sz w:val="24"/>
          <w:u w:val="single"/>
          <w:lang w:val="ka-GE"/>
        </w:rPr>
        <w:t>შემთხვევა</w:t>
      </w:r>
      <w:r w:rsidRPr="00DA7131">
        <w:rPr>
          <w:rFonts w:ascii="Sylfaen" w:hAnsi="Sylfaen"/>
          <w:sz w:val="24"/>
          <w:lang w:val="ka-GE"/>
        </w:rPr>
        <w:t>:</w:t>
      </w:r>
      <w:r w:rsidRPr="00DA7131">
        <w:rPr>
          <w:rFonts w:ascii="Sylfaen" w:hAnsi="Sylfaen"/>
          <w:bCs/>
          <w:sz w:val="24"/>
          <w:lang w:val="ka-GE"/>
        </w:rPr>
        <w:t xml:space="preserve"> ჩინეთიში</w:t>
      </w:r>
      <w:r w:rsidRPr="00DA7131">
        <w:rPr>
          <w:rFonts w:ascii="Sylfaen" w:hAnsi="Sylfaen"/>
          <w:sz w:val="24"/>
          <w:lang w:val="ka-GE"/>
        </w:rPr>
        <w:t xml:space="preserve"> </w:t>
      </w:r>
      <w:r w:rsidR="0038500E" w:rsidRPr="0038500E">
        <w:rPr>
          <w:rFonts w:ascii="Sylfaen" w:hAnsi="Sylfaen"/>
          <w:b/>
          <w:bCs/>
          <w:sz w:val="24"/>
          <w:u w:val="single"/>
          <w:lang w:val="ka-GE"/>
        </w:rPr>
        <w:t>81 </w:t>
      </w:r>
      <w:r w:rsidR="00C92A28">
        <w:rPr>
          <w:rFonts w:ascii="Sylfaen" w:hAnsi="Sylfaen"/>
          <w:b/>
          <w:bCs/>
          <w:sz w:val="24"/>
          <w:u w:val="single"/>
        </w:rPr>
        <w:t>748</w:t>
      </w:r>
    </w:p>
    <w:p w:rsidR="000E41E8" w:rsidRPr="00967EBF" w:rsidRDefault="00070099" w:rsidP="00812259">
      <w:pPr>
        <w:tabs>
          <w:tab w:val="left" w:pos="3150"/>
        </w:tabs>
        <w:jc w:val="both"/>
        <w:rPr>
          <w:rFonts w:ascii="Sylfaen" w:hAnsi="Sylfaen"/>
          <w:sz w:val="24"/>
        </w:rPr>
      </w:pPr>
      <w:r w:rsidRPr="00DA7131">
        <w:rPr>
          <w:rFonts w:ascii="Sylfaen" w:hAnsi="Sylfaen"/>
          <w:bCs/>
          <w:sz w:val="24"/>
          <w:lang w:val="ka-GE"/>
        </w:rPr>
        <w:t xml:space="preserve">ჩინეთს გარეთ </w:t>
      </w:r>
      <w:r w:rsidR="00C92A28">
        <w:rPr>
          <w:rFonts w:ascii="Sylfaen" w:hAnsi="Sylfaen"/>
          <w:b/>
          <w:bCs/>
          <w:sz w:val="24"/>
          <w:u w:val="single"/>
        </w:rPr>
        <w:t>296 293</w:t>
      </w:r>
      <w:r w:rsidR="00EE574D">
        <w:rPr>
          <w:rFonts w:ascii="Sylfaen" w:hAnsi="Sylfaen"/>
          <w:b/>
          <w:bCs/>
          <w:sz w:val="24"/>
          <w:u w:val="single"/>
        </w:rPr>
        <w:t xml:space="preserve"> </w:t>
      </w:r>
      <w:r w:rsidR="0038500E" w:rsidRPr="0038500E">
        <w:rPr>
          <w:rFonts w:ascii="Sylfaen" w:hAnsi="Sylfaen"/>
          <w:b/>
          <w:bCs/>
          <w:sz w:val="24"/>
          <w:u w:val="single"/>
          <w:lang w:val="ka-GE"/>
        </w:rPr>
        <w:t xml:space="preserve"> </w:t>
      </w:r>
      <w:r w:rsidRPr="00DA7131">
        <w:rPr>
          <w:rFonts w:ascii="Sylfaen" w:hAnsi="Sylfaen"/>
          <w:bCs/>
          <w:sz w:val="24"/>
          <w:lang w:val="ka-GE"/>
        </w:rPr>
        <w:t>შემთხვევა მათ შორის ყველაზე მეტი შემთხვევა ფიქსირდება: იტალია</w:t>
      </w:r>
      <w:r w:rsidR="002E1E14">
        <w:rPr>
          <w:rFonts w:ascii="Sylfaen" w:hAnsi="Sylfaen"/>
          <w:bCs/>
          <w:sz w:val="24"/>
        </w:rPr>
        <w:t xml:space="preserve"> </w:t>
      </w:r>
      <w:r w:rsidR="0094121D">
        <w:rPr>
          <w:rFonts w:ascii="Sylfaen" w:hAnsi="Sylfaen"/>
          <w:b/>
          <w:bCs/>
          <w:sz w:val="24"/>
          <w:u w:val="single"/>
        </w:rPr>
        <w:t>63 927</w:t>
      </w:r>
      <w:r w:rsidRPr="00DA7131">
        <w:rPr>
          <w:rFonts w:ascii="Sylfaen" w:hAnsi="Sylfaen"/>
          <w:b/>
          <w:bCs/>
          <w:color w:val="333333"/>
          <w:szCs w:val="21"/>
          <w:u w:val="single"/>
          <w:lang w:val="ka-GE"/>
        </w:rPr>
        <w:t>,</w:t>
      </w:r>
      <w:r w:rsidRPr="00DA7131">
        <w:rPr>
          <w:rFonts w:ascii="Sylfaen" w:hAnsi="Sylfaen"/>
          <w:bCs/>
          <w:sz w:val="24"/>
          <w:lang w:val="ka-GE"/>
        </w:rPr>
        <w:t>სიკვდილი</w:t>
      </w:r>
      <w:r w:rsidRPr="00DA7131">
        <w:rPr>
          <w:rFonts w:ascii="Sylfaen" w:hAnsi="Sylfaen"/>
          <w:bCs/>
          <w:sz w:val="24"/>
        </w:rPr>
        <w:t xml:space="preserve"> </w:t>
      </w:r>
      <w:r w:rsidR="0094121D">
        <w:rPr>
          <w:rFonts w:ascii="Sylfaen" w:hAnsi="Sylfaen"/>
          <w:b/>
          <w:bCs/>
          <w:sz w:val="24"/>
          <w:u w:val="single"/>
        </w:rPr>
        <w:t>6 077</w:t>
      </w:r>
      <w:r w:rsidRPr="00DA7131">
        <w:rPr>
          <w:rFonts w:ascii="Sylfaen" w:hAnsi="Sylfaen"/>
          <w:bCs/>
          <w:sz w:val="24"/>
          <w:lang w:val="ka-GE"/>
        </w:rPr>
        <w:t xml:space="preserve">; </w:t>
      </w:r>
      <w:r w:rsidR="00E93979" w:rsidRPr="00E93979">
        <w:rPr>
          <w:rFonts w:ascii="Sylfaen" w:hAnsi="Sylfaen"/>
          <w:bCs/>
          <w:sz w:val="24"/>
          <w:lang w:val="ka-GE"/>
        </w:rPr>
        <w:t xml:space="preserve">ამერიკის შეერთებული შტატები </w:t>
      </w:r>
      <w:r w:rsidR="0094121D">
        <w:rPr>
          <w:rFonts w:ascii="Sylfaen" w:hAnsi="Sylfaen"/>
          <w:b/>
          <w:bCs/>
          <w:sz w:val="24"/>
          <w:u w:val="single"/>
        </w:rPr>
        <w:t>46 442</w:t>
      </w:r>
      <w:r w:rsidR="00E93979" w:rsidRPr="00E93979">
        <w:rPr>
          <w:rFonts w:ascii="Sylfaen" w:hAnsi="Sylfaen"/>
          <w:b/>
          <w:bCs/>
          <w:sz w:val="24"/>
          <w:u w:val="single"/>
        </w:rPr>
        <w:t xml:space="preserve"> </w:t>
      </w:r>
      <w:r w:rsidR="00E93979" w:rsidRPr="00E93979">
        <w:rPr>
          <w:rFonts w:ascii="Sylfaen" w:hAnsi="Sylfaen"/>
          <w:bCs/>
          <w:sz w:val="24"/>
          <w:lang w:val="ka-GE"/>
        </w:rPr>
        <w:t>სიკვდილი</w:t>
      </w:r>
      <w:r w:rsidR="00E93979" w:rsidRPr="00E93979">
        <w:rPr>
          <w:rFonts w:ascii="Sylfaen" w:hAnsi="Sylfaen"/>
          <w:b/>
          <w:bCs/>
          <w:sz w:val="24"/>
          <w:u w:val="single"/>
          <w:lang w:val="ka-GE"/>
        </w:rPr>
        <w:t xml:space="preserve"> </w:t>
      </w:r>
      <w:r w:rsidR="0094121D">
        <w:rPr>
          <w:rFonts w:ascii="Sylfaen" w:hAnsi="Sylfaen"/>
          <w:b/>
          <w:bCs/>
          <w:sz w:val="24"/>
          <w:u w:val="single"/>
        </w:rPr>
        <w:t>590</w:t>
      </w:r>
      <w:r w:rsidR="00E93979" w:rsidRPr="00E93979">
        <w:rPr>
          <w:rFonts w:ascii="Sylfaen" w:hAnsi="Sylfaen"/>
          <w:b/>
          <w:bCs/>
          <w:sz w:val="24"/>
          <w:u w:val="single"/>
          <w:lang w:val="ka-GE"/>
        </w:rPr>
        <w:t xml:space="preserve">; </w:t>
      </w:r>
      <w:r w:rsidRPr="00DA7131">
        <w:rPr>
          <w:rFonts w:ascii="Sylfaen" w:hAnsi="Sylfaen"/>
          <w:bCs/>
          <w:sz w:val="24"/>
          <w:lang w:val="ka-GE"/>
        </w:rPr>
        <w:t>ესპანეთი</w:t>
      </w:r>
      <w:r w:rsidRPr="00DA7131">
        <w:rPr>
          <w:rFonts w:ascii="Sylfaen" w:hAnsi="Sylfaen"/>
          <w:b/>
          <w:bCs/>
          <w:sz w:val="24"/>
          <w:u w:val="single"/>
          <w:lang w:val="ka-GE"/>
        </w:rPr>
        <w:t xml:space="preserve"> </w:t>
      </w:r>
      <w:r w:rsidR="0094121D">
        <w:rPr>
          <w:rFonts w:ascii="Sylfaen" w:hAnsi="Sylfaen"/>
          <w:b/>
          <w:bCs/>
          <w:sz w:val="24"/>
          <w:u w:val="single"/>
        </w:rPr>
        <w:t xml:space="preserve">33 089 </w:t>
      </w:r>
      <w:r w:rsidRPr="00DA7131">
        <w:rPr>
          <w:rFonts w:ascii="Sylfaen" w:hAnsi="Sylfaen"/>
          <w:bCs/>
          <w:sz w:val="24"/>
          <w:lang w:val="ka-GE"/>
        </w:rPr>
        <w:t>სიკვდილი</w:t>
      </w:r>
      <w:r w:rsidRPr="00DA7131">
        <w:rPr>
          <w:rFonts w:ascii="Sylfaen" w:hAnsi="Sylfaen"/>
          <w:b/>
          <w:bCs/>
          <w:sz w:val="24"/>
          <w:u w:val="single"/>
          <w:lang w:val="ka-GE"/>
        </w:rPr>
        <w:t xml:space="preserve"> </w:t>
      </w:r>
      <w:r w:rsidR="0094121D">
        <w:rPr>
          <w:rFonts w:ascii="Sylfaen" w:hAnsi="Sylfaen"/>
          <w:b/>
          <w:bCs/>
          <w:sz w:val="24"/>
          <w:u w:val="single"/>
        </w:rPr>
        <w:t>2 182</w:t>
      </w:r>
      <w:r w:rsidR="007A2170">
        <w:rPr>
          <w:rFonts w:ascii="Sylfaen" w:hAnsi="Sylfaen"/>
          <w:b/>
          <w:bCs/>
          <w:sz w:val="24"/>
          <w:u w:val="single"/>
          <w:lang w:val="ka-GE"/>
        </w:rPr>
        <w:t xml:space="preserve">; </w:t>
      </w:r>
      <w:r w:rsidR="007A2170" w:rsidRPr="00DA7131">
        <w:rPr>
          <w:rFonts w:ascii="Sylfaen" w:hAnsi="Sylfaen"/>
          <w:bCs/>
          <w:sz w:val="24"/>
          <w:lang w:val="ka-GE"/>
        </w:rPr>
        <w:t>გერმანია</w:t>
      </w:r>
      <w:r w:rsidR="007A2170" w:rsidRPr="007A2170">
        <w:rPr>
          <w:rFonts w:ascii="Sylfaen" w:hAnsi="Sylfaen"/>
          <w:bCs/>
          <w:sz w:val="24"/>
        </w:rPr>
        <w:t xml:space="preserve"> </w:t>
      </w:r>
      <w:r w:rsidR="007A2170" w:rsidRPr="007A2170">
        <w:rPr>
          <w:rFonts w:ascii="Sylfaen" w:hAnsi="Sylfaen"/>
          <w:bCs/>
          <w:sz w:val="24"/>
          <w:lang w:val="ka-GE"/>
        </w:rPr>
        <w:t>სულ</w:t>
      </w:r>
      <w:r w:rsidR="00CF7AA6">
        <w:rPr>
          <w:rFonts w:ascii="Sylfaen" w:hAnsi="Sylfaen"/>
          <w:b/>
          <w:bCs/>
          <w:sz w:val="24"/>
          <w:u w:val="single"/>
          <w:lang w:val="ka-GE"/>
        </w:rPr>
        <w:t xml:space="preserve"> </w:t>
      </w:r>
      <w:r w:rsidR="0094121D">
        <w:rPr>
          <w:rFonts w:ascii="Sylfaen" w:hAnsi="Sylfaen"/>
          <w:b/>
          <w:bCs/>
          <w:sz w:val="24"/>
          <w:u w:val="single"/>
        </w:rPr>
        <w:t>29</w:t>
      </w:r>
      <w:r w:rsidR="00CF7AA6">
        <w:rPr>
          <w:rFonts w:ascii="Sylfaen" w:hAnsi="Sylfaen"/>
          <w:b/>
          <w:bCs/>
          <w:sz w:val="24"/>
          <w:u w:val="single"/>
        </w:rPr>
        <w:t xml:space="preserve"> </w:t>
      </w:r>
      <w:r w:rsidR="0094121D">
        <w:rPr>
          <w:rFonts w:ascii="Sylfaen" w:hAnsi="Sylfaen"/>
          <w:b/>
          <w:bCs/>
          <w:sz w:val="24"/>
          <w:u w:val="single"/>
        </w:rPr>
        <w:t>212</w:t>
      </w:r>
      <w:r w:rsidR="00CF7AA6">
        <w:rPr>
          <w:rFonts w:ascii="Sylfaen" w:hAnsi="Sylfaen"/>
          <w:b/>
          <w:bCs/>
          <w:sz w:val="24"/>
          <w:u w:val="single"/>
        </w:rPr>
        <w:t xml:space="preserve"> </w:t>
      </w:r>
      <w:r w:rsidR="007A2170" w:rsidRPr="00DA7131">
        <w:rPr>
          <w:rFonts w:ascii="Sylfaen" w:hAnsi="Sylfaen"/>
          <w:bCs/>
          <w:sz w:val="24"/>
          <w:lang w:val="ka-GE"/>
        </w:rPr>
        <w:t>, სიკვდილი</w:t>
      </w:r>
      <w:r w:rsidR="007A2170" w:rsidRPr="00DA7131">
        <w:rPr>
          <w:rFonts w:ascii="Sylfaen" w:hAnsi="Sylfaen"/>
          <w:b/>
          <w:bCs/>
          <w:sz w:val="24"/>
          <w:u w:val="single"/>
          <w:lang w:val="ka-GE"/>
        </w:rPr>
        <w:t xml:space="preserve"> </w:t>
      </w:r>
      <w:r w:rsidR="0094121D">
        <w:rPr>
          <w:rFonts w:ascii="Sylfaen" w:hAnsi="Sylfaen"/>
          <w:b/>
          <w:bCs/>
          <w:sz w:val="24"/>
          <w:u w:val="single"/>
        </w:rPr>
        <w:t>126</w:t>
      </w:r>
      <w:r w:rsidR="007A2170" w:rsidRPr="00DA7131">
        <w:rPr>
          <w:rFonts w:ascii="Sylfaen" w:hAnsi="Sylfaen"/>
          <w:b/>
          <w:bCs/>
          <w:sz w:val="24"/>
          <w:u w:val="single"/>
          <w:lang w:val="ka-GE"/>
        </w:rPr>
        <w:t xml:space="preserve">;  </w:t>
      </w:r>
      <w:r w:rsidR="0094121D" w:rsidRPr="00DA7131">
        <w:rPr>
          <w:rFonts w:ascii="Sylfaen" w:hAnsi="Sylfaen"/>
          <w:bCs/>
          <w:sz w:val="24"/>
          <w:lang w:val="ka-GE"/>
        </w:rPr>
        <w:t xml:space="preserve">ირანი </w:t>
      </w:r>
      <w:r w:rsidR="0094121D">
        <w:rPr>
          <w:rFonts w:ascii="Sylfaen" w:hAnsi="Sylfaen"/>
          <w:b/>
          <w:bCs/>
          <w:sz w:val="24"/>
          <w:u w:val="single"/>
        </w:rPr>
        <w:t>23 049</w:t>
      </w:r>
      <w:r w:rsidR="0094121D" w:rsidRPr="00DA7131">
        <w:rPr>
          <w:rFonts w:ascii="Sylfaen" w:hAnsi="Sylfaen"/>
          <w:bCs/>
          <w:color w:val="333333"/>
          <w:szCs w:val="21"/>
          <w:lang w:val="ka-GE"/>
        </w:rPr>
        <w:t xml:space="preserve">, </w:t>
      </w:r>
      <w:r w:rsidR="0094121D" w:rsidRPr="00DA7131">
        <w:rPr>
          <w:rFonts w:ascii="Sylfaen" w:hAnsi="Sylfaen"/>
          <w:bCs/>
          <w:sz w:val="24"/>
          <w:lang w:val="ka-GE"/>
        </w:rPr>
        <w:t>სიკვდილი</w:t>
      </w:r>
      <w:r w:rsidR="0094121D" w:rsidRPr="00DA7131">
        <w:rPr>
          <w:rFonts w:ascii="Sylfaen" w:hAnsi="Sylfaen"/>
          <w:bCs/>
          <w:sz w:val="24"/>
        </w:rPr>
        <w:t xml:space="preserve"> </w:t>
      </w:r>
      <w:r w:rsidR="0094121D">
        <w:rPr>
          <w:rFonts w:ascii="Sylfaen" w:hAnsi="Sylfaen"/>
          <w:b/>
          <w:bCs/>
          <w:sz w:val="24"/>
          <w:u w:val="single"/>
        </w:rPr>
        <w:t>1 812</w:t>
      </w:r>
      <w:r w:rsidR="0094121D" w:rsidRPr="00DA7131">
        <w:rPr>
          <w:rFonts w:ascii="Sylfaen" w:hAnsi="Sylfaen"/>
          <w:b/>
          <w:bCs/>
          <w:sz w:val="24"/>
          <w:u w:val="single"/>
          <w:lang w:val="ka-GE"/>
        </w:rPr>
        <w:t>;</w:t>
      </w:r>
      <w:r w:rsidR="0094121D">
        <w:rPr>
          <w:rFonts w:ascii="Sylfaen" w:hAnsi="Sylfaen"/>
          <w:b/>
          <w:bCs/>
          <w:sz w:val="24"/>
          <w:u w:val="single"/>
        </w:rPr>
        <w:t xml:space="preserve"> </w:t>
      </w:r>
      <w:r w:rsidR="0094121D" w:rsidRPr="00DA7131">
        <w:rPr>
          <w:rFonts w:ascii="Sylfaen" w:hAnsi="Sylfaen"/>
          <w:bCs/>
          <w:sz w:val="24"/>
          <w:lang w:val="ka-GE"/>
        </w:rPr>
        <w:t>საფრანგეთი</w:t>
      </w:r>
      <w:r w:rsidR="0094121D" w:rsidRPr="00DA7131">
        <w:rPr>
          <w:rFonts w:ascii="Sylfaen" w:hAnsi="Sylfaen"/>
          <w:b/>
          <w:bCs/>
          <w:sz w:val="24"/>
          <w:u w:val="single"/>
          <w:lang w:val="ka-GE"/>
        </w:rPr>
        <w:t xml:space="preserve"> </w:t>
      </w:r>
      <w:r w:rsidR="0094121D">
        <w:rPr>
          <w:rFonts w:ascii="Sylfaen" w:hAnsi="Sylfaen"/>
          <w:b/>
          <w:bCs/>
          <w:sz w:val="24"/>
          <w:u w:val="single"/>
        </w:rPr>
        <w:t>19 856,</w:t>
      </w:r>
      <w:r w:rsidR="0094121D" w:rsidRPr="00DA7131">
        <w:rPr>
          <w:rFonts w:ascii="Sylfaen" w:hAnsi="Sylfaen"/>
          <w:bCs/>
          <w:sz w:val="24"/>
          <w:lang w:val="ka-GE"/>
        </w:rPr>
        <w:t xml:space="preserve">სიკვდილი </w:t>
      </w:r>
      <w:r w:rsidR="0094121D">
        <w:rPr>
          <w:rFonts w:ascii="Sylfaen" w:hAnsi="Sylfaen"/>
          <w:b/>
          <w:bCs/>
          <w:sz w:val="24"/>
          <w:u w:val="single"/>
        </w:rPr>
        <w:t>860</w:t>
      </w:r>
      <w:r w:rsidR="0094121D" w:rsidRPr="00DA7131">
        <w:rPr>
          <w:rFonts w:ascii="Sylfaen" w:hAnsi="Sylfaen"/>
          <w:b/>
          <w:bCs/>
          <w:sz w:val="24"/>
          <w:u w:val="single"/>
          <w:lang w:val="ka-GE"/>
        </w:rPr>
        <w:t xml:space="preserve">, </w:t>
      </w:r>
      <w:r w:rsidR="007A2170" w:rsidRPr="00DA7131">
        <w:rPr>
          <w:rFonts w:ascii="Sylfaen" w:hAnsi="Sylfaen"/>
          <w:bCs/>
          <w:sz w:val="24"/>
          <w:lang w:val="ka-GE"/>
        </w:rPr>
        <w:t xml:space="preserve">სამხრეთ კორეის რესპუბლიკა </w:t>
      </w:r>
      <w:r w:rsidR="007A2170" w:rsidRPr="00DA7131">
        <w:rPr>
          <w:rFonts w:ascii="Sylfaen" w:hAnsi="Sylfaen"/>
          <w:b/>
          <w:bCs/>
          <w:sz w:val="24"/>
          <w:u w:val="single"/>
          <w:lang w:val="ka-GE"/>
        </w:rPr>
        <w:t xml:space="preserve"> </w:t>
      </w:r>
      <w:r w:rsidR="0094121D">
        <w:rPr>
          <w:rFonts w:ascii="Sylfaen" w:hAnsi="Sylfaen"/>
          <w:b/>
          <w:bCs/>
          <w:sz w:val="24"/>
          <w:u w:val="single"/>
        </w:rPr>
        <w:t>9 037</w:t>
      </w:r>
      <w:r w:rsidR="007A2170" w:rsidRPr="00DA7131">
        <w:rPr>
          <w:rFonts w:ascii="Sylfaen" w:hAnsi="Sylfaen"/>
          <w:b/>
          <w:bCs/>
          <w:sz w:val="24"/>
          <w:u w:val="single"/>
          <w:lang w:val="ka-GE"/>
        </w:rPr>
        <w:t xml:space="preserve">, </w:t>
      </w:r>
      <w:r w:rsidR="007A2170" w:rsidRPr="00DA7131">
        <w:rPr>
          <w:rFonts w:ascii="Sylfaen" w:hAnsi="Sylfaen"/>
          <w:bCs/>
          <w:sz w:val="24"/>
          <w:lang w:val="ka-GE"/>
        </w:rPr>
        <w:t xml:space="preserve">სიკვდილი </w:t>
      </w:r>
      <w:r w:rsidR="0094121D">
        <w:rPr>
          <w:rFonts w:ascii="Sylfaen" w:hAnsi="Sylfaen"/>
          <w:b/>
          <w:bCs/>
          <w:sz w:val="24"/>
          <w:u w:val="single"/>
        </w:rPr>
        <w:t>120</w:t>
      </w:r>
      <w:r w:rsidR="007A2170">
        <w:rPr>
          <w:rFonts w:ascii="Sylfaen" w:hAnsi="Sylfaen"/>
          <w:b/>
          <w:bCs/>
          <w:sz w:val="24"/>
          <w:u w:val="single"/>
          <w:lang w:val="ka-GE"/>
        </w:rPr>
        <w:t>;</w:t>
      </w:r>
      <w:r w:rsidR="007A2170" w:rsidRPr="00DA7131">
        <w:rPr>
          <w:rFonts w:ascii="Sylfaen" w:hAnsi="Sylfaen"/>
          <w:b/>
          <w:bCs/>
          <w:sz w:val="24"/>
          <w:u w:val="single"/>
          <w:lang w:val="ka-GE"/>
        </w:rPr>
        <w:t xml:space="preserve">  </w:t>
      </w:r>
      <w:r w:rsidRPr="00DA7131">
        <w:rPr>
          <w:rFonts w:ascii="Sylfaen" w:hAnsi="Sylfaen"/>
          <w:bCs/>
          <w:sz w:val="24"/>
          <w:lang w:val="ka-GE"/>
        </w:rPr>
        <w:t xml:space="preserve">შვეიცარია სულ </w:t>
      </w:r>
      <w:r w:rsidR="0094121D">
        <w:rPr>
          <w:rFonts w:ascii="Sylfaen" w:hAnsi="Sylfaen"/>
          <w:b/>
          <w:bCs/>
          <w:sz w:val="24"/>
          <w:u w:val="single"/>
        </w:rPr>
        <w:t>8 015</w:t>
      </w:r>
      <w:r w:rsidRPr="00DA7131">
        <w:rPr>
          <w:rFonts w:ascii="Sylfaen" w:hAnsi="Sylfaen"/>
          <w:b/>
          <w:bCs/>
          <w:sz w:val="24"/>
          <w:u w:val="single"/>
          <w:lang w:val="ka-GE"/>
        </w:rPr>
        <w:t>,</w:t>
      </w:r>
      <w:r w:rsidRPr="00DA7131">
        <w:rPr>
          <w:rFonts w:ascii="Sylfaen" w:hAnsi="Sylfaen"/>
          <w:bCs/>
          <w:sz w:val="24"/>
          <w:lang w:val="ka-GE"/>
        </w:rPr>
        <w:t xml:space="preserve"> სიკვდილის</w:t>
      </w:r>
      <w:r w:rsidR="0019651A">
        <w:rPr>
          <w:rFonts w:ascii="Sylfaen" w:hAnsi="Sylfaen"/>
          <w:bCs/>
          <w:sz w:val="24"/>
        </w:rPr>
        <w:t xml:space="preserve"> </w:t>
      </w:r>
      <w:r w:rsidR="0094121D">
        <w:rPr>
          <w:rFonts w:ascii="Sylfaen" w:hAnsi="Sylfaen"/>
          <w:b/>
          <w:bCs/>
          <w:sz w:val="24"/>
          <w:u w:val="single"/>
        </w:rPr>
        <w:t>66</w:t>
      </w:r>
      <w:r w:rsidRPr="00DA7131">
        <w:rPr>
          <w:rFonts w:ascii="Sylfaen" w:hAnsi="Sylfaen"/>
          <w:b/>
          <w:bCs/>
          <w:sz w:val="24"/>
          <w:u w:val="single"/>
          <w:lang w:val="ka-GE"/>
        </w:rPr>
        <w:t xml:space="preserve">;  </w:t>
      </w:r>
      <w:r w:rsidRPr="00DA7131">
        <w:rPr>
          <w:rFonts w:ascii="Sylfaen" w:hAnsi="Sylfaen"/>
          <w:bCs/>
          <w:sz w:val="24"/>
          <w:lang w:val="ka-GE"/>
        </w:rPr>
        <w:t xml:space="preserve">გაერთიანებული სამეფო სულ </w:t>
      </w:r>
      <w:r w:rsidR="0094121D">
        <w:rPr>
          <w:rFonts w:ascii="Sylfaen" w:hAnsi="Sylfaen"/>
          <w:b/>
          <w:bCs/>
          <w:sz w:val="24"/>
          <w:u w:val="single"/>
        </w:rPr>
        <w:t>6 650</w:t>
      </w:r>
      <w:r w:rsidR="0038500E">
        <w:rPr>
          <w:rFonts w:ascii="Sylfaen" w:hAnsi="Sylfaen"/>
          <w:b/>
          <w:bCs/>
          <w:sz w:val="24"/>
          <w:u w:val="single"/>
        </w:rPr>
        <w:t xml:space="preserve"> </w:t>
      </w:r>
      <w:r w:rsidRPr="00DA7131">
        <w:rPr>
          <w:rFonts w:ascii="Sylfaen" w:hAnsi="Sylfaen"/>
          <w:bCs/>
          <w:sz w:val="24"/>
          <w:lang w:val="ka-GE"/>
        </w:rPr>
        <w:t xml:space="preserve">სიკვდილი </w:t>
      </w:r>
      <w:r w:rsidR="0094121D">
        <w:rPr>
          <w:rFonts w:ascii="Sylfaen" w:hAnsi="Sylfaen"/>
          <w:b/>
          <w:bCs/>
          <w:sz w:val="24"/>
          <w:u w:val="single"/>
        </w:rPr>
        <w:t>335;</w:t>
      </w:r>
      <w:r w:rsidRPr="00DA7131">
        <w:rPr>
          <w:rFonts w:ascii="Sylfaen" w:hAnsi="Sylfaen"/>
          <w:bCs/>
          <w:sz w:val="24"/>
          <w:lang w:val="ka-GE"/>
        </w:rPr>
        <w:t xml:space="preserve"> ნიდერლანდები </w:t>
      </w:r>
      <w:r w:rsidR="0094121D">
        <w:rPr>
          <w:rFonts w:ascii="Sylfaen" w:hAnsi="Sylfaen"/>
          <w:b/>
          <w:bCs/>
          <w:sz w:val="24"/>
          <w:u w:val="single"/>
        </w:rPr>
        <w:t>4 749</w:t>
      </w:r>
      <w:r w:rsidRPr="00DA7131">
        <w:rPr>
          <w:rFonts w:ascii="Sylfaen" w:hAnsi="Sylfaen"/>
          <w:b/>
          <w:bCs/>
          <w:sz w:val="24"/>
          <w:u w:val="single"/>
          <w:lang w:val="ka-GE"/>
        </w:rPr>
        <w:t>,</w:t>
      </w:r>
      <w:r w:rsidRPr="00DA7131">
        <w:rPr>
          <w:rFonts w:ascii="Sylfaen" w:hAnsi="Sylfaen"/>
          <w:bCs/>
          <w:sz w:val="24"/>
          <w:lang w:val="ka-GE"/>
        </w:rPr>
        <w:t xml:space="preserve"> სიკვდილის </w:t>
      </w:r>
      <w:r w:rsidR="0094121D">
        <w:rPr>
          <w:rFonts w:ascii="Sylfaen" w:hAnsi="Sylfaen"/>
          <w:b/>
          <w:bCs/>
          <w:sz w:val="24"/>
          <w:u w:val="single"/>
        </w:rPr>
        <w:t>213</w:t>
      </w:r>
      <w:r w:rsidRPr="00DA7131">
        <w:rPr>
          <w:rFonts w:ascii="Sylfaen" w:hAnsi="Sylfaen"/>
          <w:b/>
          <w:bCs/>
          <w:sz w:val="24"/>
          <w:u w:val="single"/>
          <w:lang w:val="ka-GE"/>
        </w:rPr>
        <w:t xml:space="preserve"> </w:t>
      </w:r>
      <w:r w:rsidRPr="00DA7131">
        <w:rPr>
          <w:rFonts w:ascii="Sylfaen" w:hAnsi="Sylfaen"/>
          <w:bCs/>
          <w:sz w:val="24"/>
          <w:lang w:val="ka-GE"/>
        </w:rPr>
        <w:t xml:space="preserve">შემთხვევა; </w:t>
      </w:r>
      <w:r w:rsidR="00A575AD">
        <w:rPr>
          <w:rFonts w:ascii="Sylfaen" w:hAnsi="Sylfaen"/>
          <w:bCs/>
          <w:sz w:val="24"/>
          <w:lang w:val="ka-GE"/>
        </w:rPr>
        <w:t xml:space="preserve">ავსტრია სულ </w:t>
      </w:r>
      <w:r w:rsidR="0094121D">
        <w:rPr>
          <w:rFonts w:ascii="Sylfaen" w:hAnsi="Sylfaen"/>
          <w:b/>
          <w:bCs/>
          <w:sz w:val="24"/>
          <w:u w:val="single"/>
        </w:rPr>
        <w:t>4 486</w:t>
      </w:r>
      <w:r w:rsidR="008103E9">
        <w:rPr>
          <w:rFonts w:ascii="Sylfaen" w:hAnsi="Sylfaen"/>
          <w:bCs/>
          <w:sz w:val="24"/>
          <w:lang w:val="ka-GE"/>
        </w:rPr>
        <w:t xml:space="preserve"> სიკვდილი </w:t>
      </w:r>
      <w:r w:rsidR="0004634B">
        <w:rPr>
          <w:rFonts w:ascii="Sylfaen" w:hAnsi="Sylfaen"/>
          <w:b/>
          <w:bCs/>
          <w:sz w:val="24"/>
          <w:u w:val="single"/>
        </w:rPr>
        <w:t>25</w:t>
      </w:r>
      <w:r w:rsidR="008103E9">
        <w:rPr>
          <w:rFonts w:ascii="Sylfaen" w:hAnsi="Sylfaen"/>
          <w:bCs/>
          <w:sz w:val="24"/>
          <w:lang w:val="ka-GE"/>
        </w:rPr>
        <w:t xml:space="preserve">, </w:t>
      </w:r>
      <w:r w:rsidR="008103E9" w:rsidRPr="00DA7131">
        <w:rPr>
          <w:rFonts w:ascii="Sylfaen" w:hAnsi="Sylfaen"/>
          <w:bCs/>
          <w:sz w:val="24"/>
          <w:lang w:val="ka-GE"/>
        </w:rPr>
        <w:t xml:space="preserve">ბელგია  სულ </w:t>
      </w:r>
      <w:r w:rsidR="00CF7AA6">
        <w:rPr>
          <w:rFonts w:ascii="Sylfaen" w:hAnsi="Sylfaen"/>
          <w:b/>
          <w:bCs/>
          <w:sz w:val="24"/>
          <w:u w:val="single"/>
        </w:rPr>
        <w:t xml:space="preserve">3 </w:t>
      </w:r>
      <w:r w:rsidR="0004634B">
        <w:rPr>
          <w:rFonts w:ascii="Sylfaen" w:hAnsi="Sylfaen"/>
          <w:b/>
          <w:bCs/>
          <w:sz w:val="24"/>
          <w:u w:val="single"/>
        </w:rPr>
        <w:t>743</w:t>
      </w:r>
      <w:r w:rsidR="00F635ED">
        <w:rPr>
          <w:rFonts w:ascii="Sylfaen" w:hAnsi="Sylfaen"/>
          <w:b/>
          <w:bCs/>
          <w:sz w:val="24"/>
          <w:u w:val="single"/>
        </w:rPr>
        <w:t xml:space="preserve"> </w:t>
      </w:r>
      <w:r w:rsidR="008103E9" w:rsidRPr="00DA7131">
        <w:rPr>
          <w:rFonts w:ascii="Sylfaen" w:hAnsi="Sylfaen"/>
          <w:bCs/>
          <w:sz w:val="24"/>
          <w:lang w:val="ka-GE"/>
        </w:rPr>
        <w:t xml:space="preserve">შემთხვევა სიკვდილი </w:t>
      </w:r>
      <w:r w:rsidR="0004634B">
        <w:rPr>
          <w:rFonts w:ascii="Sylfaen" w:hAnsi="Sylfaen"/>
          <w:b/>
          <w:bCs/>
          <w:sz w:val="24"/>
          <w:u w:val="single"/>
        </w:rPr>
        <w:t>88</w:t>
      </w:r>
      <w:r w:rsidR="008103E9">
        <w:rPr>
          <w:rFonts w:ascii="Sylfaen" w:hAnsi="Sylfaen"/>
          <w:b/>
          <w:bCs/>
          <w:sz w:val="24"/>
          <w:u w:val="single"/>
        </w:rPr>
        <w:t>;</w:t>
      </w:r>
      <w:r w:rsidR="008103E9">
        <w:rPr>
          <w:rFonts w:ascii="Sylfaen" w:hAnsi="Sylfaen"/>
          <w:sz w:val="24"/>
          <w:lang w:val="ka-GE"/>
        </w:rPr>
        <w:t xml:space="preserve"> </w:t>
      </w:r>
      <w:r w:rsidRPr="00DA7131">
        <w:rPr>
          <w:rFonts w:ascii="Sylfaen" w:hAnsi="Sylfaen"/>
          <w:bCs/>
          <w:sz w:val="24"/>
          <w:lang w:val="ka-GE"/>
        </w:rPr>
        <w:t xml:space="preserve">ნორვეგია სულ </w:t>
      </w:r>
      <w:r w:rsidR="00CF7AA6">
        <w:rPr>
          <w:rFonts w:ascii="Sylfaen" w:hAnsi="Sylfaen"/>
          <w:b/>
          <w:bCs/>
          <w:sz w:val="24"/>
          <w:u w:val="single"/>
        </w:rPr>
        <w:t xml:space="preserve">2 </w:t>
      </w:r>
      <w:r w:rsidR="0004634B">
        <w:rPr>
          <w:rFonts w:ascii="Sylfaen" w:hAnsi="Sylfaen"/>
          <w:b/>
          <w:bCs/>
          <w:sz w:val="24"/>
          <w:u w:val="single"/>
        </w:rPr>
        <w:t>371</w:t>
      </w:r>
      <w:r w:rsidR="008103E9">
        <w:rPr>
          <w:rFonts w:ascii="Sylfaen" w:hAnsi="Sylfaen"/>
          <w:b/>
          <w:bCs/>
          <w:sz w:val="24"/>
          <w:u w:val="single"/>
          <w:lang w:val="ka-GE"/>
        </w:rPr>
        <w:t>,</w:t>
      </w:r>
      <w:r w:rsidRPr="00DA7131">
        <w:rPr>
          <w:rFonts w:ascii="Sylfaen" w:hAnsi="Sylfaen"/>
          <w:bCs/>
          <w:sz w:val="24"/>
          <w:lang w:val="ka-GE"/>
        </w:rPr>
        <w:t xml:space="preserve"> სიკვდილი </w:t>
      </w:r>
      <w:r w:rsidR="0004634B">
        <w:rPr>
          <w:rFonts w:ascii="Sylfaen" w:hAnsi="Sylfaen"/>
          <w:b/>
          <w:bCs/>
          <w:sz w:val="24"/>
          <w:u w:val="single"/>
        </w:rPr>
        <w:t>8</w:t>
      </w:r>
      <w:r w:rsidRPr="00DA7131">
        <w:rPr>
          <w:rFonts w:ascii="Sylfaen" w:hAnsi="Sylfaen"/>
          <w:b/>
          <w:bCs/>
          <w:sz w:val="24"/>
          <w:u w:val="single"/>
          <w:lang w:val="ka-GE"/>
        </w:rPr>
        <w:t>;</w:t>
      </w:r>
      <w:r w:rsidRPr="00DA7131">
        <w:rPr>
          <w:rFonts w:ascii="Sylfaen" w:hAnsi="Sylfaen"/>
          <w:bCs/>
          <w:sz w:val="24"/>
          <w:lang w:val="ka-GE"/>
        </w:rPr>
        <w:t xml:space="preserve"> შვედეთი სულ </w:t>
      </w:r>
      <w:r w:rsidR="0004634B">
        <w:rPr>
          <w:rFonts w:ascii="Sylfaen" w:hAnsi="Sylfaen"/>
          <w:b/>
          <w:bCs/>
          <w:sz w:val="24"/>
          <w:u w:val="single"/>
        </w:rPr>
        <w:t>2 016</w:t>
      </w:r>
      <w:r w:rsidR="00CF7AA6">
        <w:rPr>
          <w:rFonts w:ascii="Sylfaen" w:hAnsi="Sylfaen"/>
          <w:b/>
          <w:bCs/>
          <w:sz w:val="24"/>
          <w:u w:val="single"/>
        </w:rPr>
        <w:t xml:space="preserve"> </w:t>
      </w:r>
      <w:r w:rsidRPr="00DA7131">
        <w:rPr>
          <w:rFonts w:ascii="Sylfaen" w:hAnsi="Sylfaen"/>
          <w:bCs/>
          <w:sz w:val="24"/>
          <w:lang w:val="ka-GE"/>
        </w:rPr>
        <w:t xml:space="preserve">სიკვდილის </w:t>
      </w:r>
      <w:r w:rsidR="0004634B">
        <w:rPr>
          <w:rFonts w:ascii="Sylfaen" w:hAnsi="Sylfaen"/>
          <w:b/>
          <w:bCs/>
          <w:sz w:val="24"/>
          <w:u w:val="single"/>
        </w:rPr>
        <w:t>25</w:t>
      </w:r>
      <w:r w:rsidRPr="00DA7131">
        <w:rPr>
          <w:rFonts w:ascii="Sylfaen" w:hAnsi="Sylfaen"/>
          <w:bCs/>
          <w:sz w:val="24"/>
          <w:lang w:val="ka-GE"/>
        </w:rPr>
        <w:t xml:space="preserve"> შემთხვევა; </w:t>
      </w:r>
    </w:p>
    <w:p w:rsidR="005442A1" w:rsidRPr="00557EFF" w:rsidRDefault="0094121D" w:rsidP="00557EFF">
      <w:pPr>
        <w:shd w:val="clear" w:color="auto" w:fill="FFFFFF"/>
        <w:spacing w:before="100" w:beforeAutospacing="1" w:after="150" w:afterAutospacing="1" w:line="240" w:lineRule="auto"/>
        <w:jc w:val="both"/>
        <w:rPr>
          <w:rFonts w:ascii="Sylfaen" w:hAnsi="Sylfaen"/>
          <w:bCs/>
          <w:sz w:val="24"/>
          <w:lang w:val="ka-GE"/>
        </w:rPr>
      </w:pPr>
      <w:r w:rsidRPr="0094121D">
        <w:rPr>
          <w:rFonts w:ascii="Sylfaen" w:hAnsi="Sylfaen"/>
          <w:bCs/>
          <w:sz w:val="24"/>
          <w:lang w:val="ka-GE"/>
        </w:rPr>
        <w:t>სიკვდილის  16 365</w:t>
      </w:r>
      <w:r w:rsidRPr="0094121D">
        <w:rPr>
          <w:rFonts w:ascii="Sylfaen" w:hAnsi="Sylfaen"/>
          <w:bCs/>
          <w:sz w:val="24"/>
        </w:rPr>
        <w:t xml:space="preserve"> </w:t>
      </w:r>
      <w:r w:rsidRPr="0094121D">
        <w:rPr>
          <w:rFonts w:ascii="Sylfaen" w:hAnsi="Sylfaen"/>
          <w:bCs/>
          <w:sz w:val="24"/>
          <w:lang w:val="ka-GE"/>
        </w:rPr>
        <w:t>იტალია (6 077), ჩინეთი (3 283), ესპანეთი (2 182), ირანი (1 812), საფრანგეთი</w:t>
      </w:r>
      <w:r w:rsidRPr="0094121D">
        <w:rPr>
          <w:rFonts w:ascii="Sylfaen" w:hAnsi="Sylfaen"/>
          <w:bCs/>
          <w:sz w:val="24"/>
        </w:rPr>
        <w:t xml:space="preserve"> </w:t>
      </w:r>
      <w:r w:rsidRPr="0094121D">
        <w:rPr>
          <w:rFonts w:ascii="Sylfaen" w:hAnsi="Sylfaen"/>
          <w:bCs/>
          <w:sz w:val="24"/>
          <w:lang w:val="ka-GE"/>
        </w:rPr>
        <w:t>(860), შეერთებული შტატები (590), გაერთიანებული სამეფო (335), ნიდერლანდები (213), გერმანია (126), სამხრეთ კორეა (120), ბელგია</w:t>
      </w:r>
      <w:r w:rsidRPr="0094121D">
        <w:rPr>
          <w:rFonts w:ascii="Sylfaen" w:hAnsi="Sylfaen"/>
          <w:bCs/>
          <w:sz w:val="24"/>
        </w:rPr>
        <w:t xml:space="preserve"> </w:t>
      </w:r>
      <w:r w:rsidRPr="0094121D">
        <w:rPr>
          <w:rFonts w:ascii="Sylfaen" w:hAnsi="Sylfaen"/>
          <w:bCs/>
          <w:sz w:val="24"/>
          <w:lang w:val="ka-GE"/>
        </w:rPr>
        <w:t>(88), შვეიცარია (66), ინდონეზია (49), იაპონია (42), თურქეთი (37), ბრაზილია (34), ფილიპინები (33), ავსტრია (25), შვედეთი</w:t>
      </w:r>
      <w:r w:rsidRPr="0094121D">
        <w:rPr>
          <w:rFonts w:ascii="Sylfaen" w:hAnsi="Sylfaen"/>
          <w:bCs/>
          <w:sz w:val="24"/>
        </w:rPr>
        <w:t xml:space="preserve"> </w:t>
      </w:r>
      <w:r w:rsidRPr="0094121D">
        <w:rPr>
          <w:rFonts w:ascii="Sylfaen" w:hAnsi="Sylfaen"/>
          <w:bCs/>
          <w:sz w:val="24"/>
          <w:lang w:val="ka-GE"/>
        </w:rPr>
        <w:t>(25), კანადა (24), დანია (24), ერაყი (23), პორტუგალია (23), სან-მარინო (20), ეკვადორი (18), ალჟირი (17), საბერძნეთი</w:t>
      </w:r>
      <w:r w:rsidRPr="0094121D">
        <w:rPr>
          <w:rFonts w:ascii="Sylfaen" w:hAnsi="Sylfaen"/>
          <w:bCs/>
          <w:sz w:val="24"/>
        </w:rPr>
        <w:t xml:space="preserve"> </w:t>
      </w:r>
      <w:r w:rsidRPr="0094121D">
        <w:rPr>
          <w:rFonts w:ascii="Sylfaen" w:hAnsi="Sylfaen"/>
          <w:bCs/>
          <w:sz w:val="24"/>
          <w:lang w:val="ka-GE"/>
        </w:rPr>
        <w:t>(17), ეგვიპტე (14), მალაიზია (14), ინდოეთი (9), უნგრეთი (8), ლუქსემბურგი (8), ნორვეგია (8), პოლონეთი (8), ავსტრალია (7),</w:t>
      </w:r>
      <w:r w:rsidRPr="0094121D">
        <w:rPr>
          <w:rFonts w:ascii="Sylfaen" w:hAnsi="Sylfaen"/>
          <w:bCs/>
          <w:sz w:val="24"/>
        </w:rPr>
        <w:t xml:space="preserve"> </w:t>
      </w:r>
      <w:r w:rsidRPr="0094121D">
        <w:rPr>
          <w:rFonts w:ascii="Sylfaen" w:hAnsi="Sylfaen"/>
          <w:bCs/>
          <w:sz w:val="24"/>
          <w:lang w:val="ka-GE"/>
        </w:rPr>
        <w:t>საერთაშორისო კონვეიერი იაპონიაში (7), რუმინეთში (7), ირლანდიაში (6), პაკისტანში (6), პანამა (6), პერუში (5), ალბანეთში (4),</w:t>
      </w:r>
      <w:r w:rsidRPr="0094121D">
        <w:rPr>
          <w:rFonts w:ascii="Sylfaen" w:hAnsi="Sylfaen"/>
          <w:bCs/>
          <w:sz w:val="24"/>
        </w:rPr>
        <w:t xml:space="preserve"> </w:t>
      </w:r>
      <w:r w:rsidRPr="0094121D">
        <w:rPr>
          <w:rFonts w:ascii="Sylfaen" w:hAnsi="Sylfaen"/>
          <w:bCs/>
          <w:sz w:val="24"/>
          <w:lang w:val="ka-GE"/>
        </w:rPr>
        <w:t>არგენტინა (4), ლიბანი (4), მექსიკა (4), მაროკო (4), ტაილანდი (4), ბანგლადეში (3), ბულგარეთი (3), ბურკინა ფასო (3),</w:t>
      </w:r>
      <w:r w:rsidRPr="0094121D">
        <w:rPr>
          <w:rFonts w:ascii="Sylfaen" w:hAnsi="Sylfaen"/>
          <w:bCs/>
          <w:sz w:val="24"/>
        </w:rPr>
        <w:t xml:space="preserve"> </w:t>
      </w:r>
      <w:r w:rsidRPr="0094121D">
        <w:rPr>
          <w:rFonts w:ascii="Sylfaen" w:hAnsi="Sylfaen"/>
          <w:bCs/>
          <w:sz w:val="24"/>
          <w:lang w:val="ka-GE"/>
        </w:rPr>
        <w:t>კოლუმბია (3), დომინიკის რესპუბლიკა (3), ტუნისი (3), უკრაინა (3), ბაჰრეინი (2), ჩილე (2), კოსტა რიკა (2), დემოკრატიული</w:t>
      </w:r>
      <w:r w:rsidRPr="0094121D">
        <w:rPr>
          <w:rFonts w:ascii="Sylfaen" w:hAnsi="Sylfaen"/>
          <w:bCs/>
          <w:sz w:val="24"/>
        </w:rPr>
        <w:t xml:space="preserve"> </w:t>
      </w:r>
      <w:r w:rsidRPr="0094121D">
        <w:rPr>
          <w:rFonts w:ascii="Sylfaen" w:hAnsi="Sylfaen"/>
          <w:bCs/>
          <w:sz w:val="24"/>
          <w:lang w:val="ka-GE"/>
        </w:rPr>
        <w:t>კონგოს რესპუბლიკა (2), განანა (2), ისლანდია (2), მავრიკი (2), ჩრდილოეთ მაკედონია (2), სინგაპური (2), ტაივანი (2),</w:t>
      </w:r>
      <w:r w:rsidRPr="0094121D">
        <w:rPr>
          <w:rFonts w:ascii="Sylfaen" w:hAnsi="Sylfaen"/>
          <w:bCs/>
          <w:sz w:val="24"/>
        </w:rPr>
        <w:t xml:space="preserve"> </w:t>
      </w:r>
      <w:r w:rsidRPr="0094121D">
        <w:rPr>
          <w:rFonts w:ascii="Sylfaen" w:hAnsi="Sylfaen"/>
          <w:bCs/>
          <w:sz w:val="24"/>
          <w:lang w:val="ka-GE"/>
        </w:rPr>
        <w:t>არაბეთის გაერთიანებული საამიროები (2), ავღანეთი (1), აზერბაიჯანი (1), ბოსნია და ჰერცეგოვინა (1), კაიმანის კუნძულები (1), კუბა</w:t>
      </w:r>
      <w:r w:rsidRPr="0094121D">
        <w:rPr>
          <w:rFonts w:ascii="Sylfaen" w:hAnsi="Sylfaen"/>
          <w:bCs/>
          <w:sz w:val="24"/>
        </w:rPr>
        <w:t xml:space="preserve"> </w:t>
      </w:r>
      <w:r w:rsidRPr="0094121D">
        <w:rPr>
          <w:rFonts w:ascii="Sylfaen" w:hAnsi="Sylfaen"/>
          <w:bCs/>
          <w:sz w:val="24"/>
          <w:lang w:val="ka-GE"/>
        </w:rPr>
        <w:t>(1), ჩეხეთი (1), ფინეთი (1), გაბონი (1), გამბია (1), გუამი (1), გვატემალა (1), გაიანა (1), ისრაელი (1),</w:t>
      </w:r>
      <w:r w:rsidRPr="0094121D">
        <w:rPr>
          <w:rFonts w:ascii="Sylfaen" w:hAnsi="Sylfaen"/>
          <w:bCs/>
          <w:sz w:val="24"/>
        </w:rPr>
        <w:t xml:space="preserve"> </w:t>
      </w:r>
      <w:r w:rsidRPr="0094121D">
        <w:rPr>
          <w:rFonts w:ascii="Sylfaen" w:hAnsi="Sylfaen"/>
          <w:bCs/>
          <w:sz w:val="24"/>
          <w:lang w:val="ka-GE"/>
        </w:rPr>
        <w:t>კოსოვო ** (1), ლიტვა (1), მოლდოვა (1), ნიგერია (1), პარაგვაი (1), სერბეთი (1), სლოვენია (1), სუდანი (1) და</w:t>
      </w:r>
      <w:r w:rsidRPr="0094121D">
        <w:rPr>
          <w:rFonts w:ascii="Sylfaen" w:hAnsi="Sylfaen"/>
          <w:bCs/>
          <w:sz w:val="24"/>
        </w:rPr>
        <w:t xml:space="preserve"> </w:t>
      </w:r>
      <w:r w:rsidRPr="0094121D">
        <w:rPr>
          <w:rFonts w:ascii="Sylfaen" w:hAnsi="Sylfaen"/>
          <w:bCs/>
          <w:sz w:val="24"/>
          <w:lang w:val="ka-GE"/>
        </w:rPr>
        <w:t>ზიმბაბვე (1).</w:t>
      </w:r>
    </w:p>
    <w:p w:rsidR="00070099" w:rsidRPr="00DA7131" w:rsidRDefault="00070099" w:rsidP="00D96E4A">
      <w:pPr>
        <w:tabs>
          <w:tab w:val="left" w:pos="3150"/>
        </w:tabs>
        <w:jc w:val="both"/>
        <w:rPr>
          <w:rFonts w:ascii="Sylfaen" w:hAnsi="Sylfaen"/>
          <w:b/>
          <w:sz w:val="24"/>
          <w:u w:val="single"/>
          <w:lang w:val="ka-GE"/>
        </w:rPr>
      </w:pPr>
      <w:r w:rsidRPr="00DA7131">
        <w:rPr>
          <w:rFonts w:ascii="Sylfaen" w:hAnsi="Sylfaen"/>
          <w:b/>
          <w:sz w:val="24"/>
          <w:u w:val="single"/>
          <w:lang w:val="ka-GE"/>
        </w:rPr>
        <w:lastRenderedPageBreak/>
        <w:t xml:space="preserve">სხვა წყაროები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rsidR="00070099" w:rsidRPr="00DA7131" w:rsidRDefault="0004634B" w:rsidP="00D96E4A">
      <w:pPr>
        <w:jc w:val="both"/>
        <w:rPr>
          <w:rFonts w:ascii="Sylfaen" w:hAnsi="Sylfaen"/>
          <w:sz w:val="24"/>
          <w:lang w:val="ka-GE"/>
        </w:rPr>
      </w:pPr>
      <w:r>
        <w:rPr>
          <w:rFonts w:ascii="Sylfaen" w:hAnsi="Sylfaen"/>
          <w:sz w:val="24"/>
        </w:rPr>
        <w:t>25</w:t>
      </w:r>
      <w:r w:rsidR="00070099" w:rsidRPr="00DA7131">
        <w:rPr>
          <w:rFonts w:ascii="Sylfaen" w:hAnsi="Sylfaen"/>
          <w:sz w:val="24"/>
          <w:lang w:val="ka-GE"/>
        </w:rPr>
        <w:t xml:space="preserve"> მარტის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070099" w:rsidRPr="00DA7131">
        <w:rPr>
          <w:rFonts w:ascii="Sylfaen" w:hAnsi="Sylfaen"/>
          <w:b/>
          <w:sz w:val="24"/>
          <w:u w:val="single"/>
          <w:lang w:val="ka-GE"/>
        </w:rPr>
        <w:t>1</w:t>
      </w:r>
      <w:r w:rsidR="007776F2">
        <w:rPr>
          <w:rFonts w:ascii="Sylfaen" w:hAnsi="Sylfaen"/>
          <w:b/>
          <w:sz w:val="24"/>
          <w:u w:val="single"/>
        </w:rPr>
        <w:t>97</w:t>
      </w:r>
      <w:r w:rsidR="00070099" w:rsidRPr="00DA7131">
        <w:rPr>
          <w:rFonts w:ascii="Sylfaen" w:hAnsi="Sylfaen"/>
          <w:b/>
          <w:sz w:val="24"/>
          <w:u w:val="single"/>
        </w:rPr>
        <w:t xml:space="preserve"> </w:t>
      </w:r>
      <w:r w:rsidR="00070099" w:rsidRPr="00DA7131">
        <w:rPr>
          <w:rFonts w:ascii="Sylfaen" w:hAnsi="Sylfaen"/>
          <w:sz w:val="24"/>
          <w:lang w:val="ka-GE"/>
        </w:rPr>
        <w:t xml:space="preserve">ქვეყანაში:  </w:t>
      </w:r>
    </w:p>
    <w:p w:rsidR="00233A0F" w:rsidRPr="00233A0F" w:rsidRDefault="00070099" w:rsidP="00070099">
      <w:pPr>
        <w:jc w:val="both"/>
        <w:rPr>
          <w:rFonts w:ascii="Sylfaen" w:hAnsi="Sylfaen"/>
          <w:sz w:val="24"/>
          <w:lang w:val="ka-GE"/>
        </w:rPr>
      </w:pPr>
      <w:r w:rsidRPr="00DA7131">
        <w:rPr>
          <w:rFonts w:ascii="Sylfaen" w:hAnsi="Sylfaen"/>
          <w:b/>
          <w:sz w:val="24"/>
          <w:u w:val="single"/>
        </w:rPr>
        <w:t xml:space="preserve"> </w:t>
      </w:r>
      <w:r w:rsidR="007776F2">
        <w:rPr>
          <w:rFonts w:ascii="Sylfaen" w:hAnsi="Sylfaen"/>
          <w:b/>
          <w:sz w:val="24"/>
          <w:u w:val="single"/>
        </w:rPr>
        <w:t>422 945</w:t>
      </w:r>
      <w:r w:rsidR="00F635ED">
        <w:rPr>
          <w:rFonts w:ascii="Sylfaen" w:hAnsi="Sylfaen"/>
          <w:b/>
          <w:sz w:val="24"/>
          <w:u w:val="single"/>
        </w:rPr>
        <w:t xml:space="preserve"> </w:t>
      </w:r>
      <w:r w:rsidR="00F635ED" w:rsidRPr="00F635ED">
        <w:rPr>
          <w:rFonts w:ascii="Sylfaen" w:hAnsi="Sylfaen"/>
          <w:sz w:val="24"/>
        </w:rPr>
        <w:t>აქედან</w:t>
      </w:r>
      <w:r w:rsidRPr="00DA7131">
        <w:rPr>
          <w:rFonts w:ascii="Sylfaen" w:hAnsi="Sylfaen"/>
          <w:sz w:val="24"/>
          <w:lang w:val="ka-GE"/>
        </w:rPr>
        <w:t xml:space="preserve"> გამოჯანმრთელდა </w:t>
      </w:r>
      <w:r w:rsidR="007776F2">
        <w:rPr>
          <w:rFonts w:ascii="Sylfaen" w:hAnsi="Sylfaen"/>
          <w:b/>
          <w:sz w:val="24"/>
          <w:u w:val="single"/>
          <w:lang w:val="ka-GE"/>
        </w:rPr>
        <w:t>109 102</w:t>
      </w:r>
      <w:r w:rsidR="00F635ED">
        <w:rPr>
          <w:rFonts w:ascii="Sylfaen" w:hAnsi="Sylfaen"/>
          <w:b/>
          <w:sz w:val="24"/>
          <w:u w:val="single"/>
        </w:rPr>
        <w:t xml:space="preserve"> </w:t>
      </w:r>
      <w:r w:rsidR="00F635ED">
        <w:rPr>
          <w:rFonts w:ascii="Sylfaen" w:hAnsi="Sylfaen"/>
          <w:b/>
          <w:sz w:val="24"/>
          <w:u w:val="single"/>
          <w:lang w:val="ka-GE"/>
        </w:rPr>
        <w:t>და</w:t>
      </w:r>
      <w:r w:rsidRPr="00DA7131">
        <w:rPr>
          <w:rFonts w:ascii="Sylfaen" w:hAnsi="Sylfaen"/>
          <w:sz w:val="24"/>
          <w:lang w:val="ka-GE"/>
        </w:rPr>
        <w:t xml:space="preserve"> დაფიქსირდა სიკვდილის </w:t>
      </w:r>
      <w:r w:rsidR="007776F2">
        <w:rPr>
          <w:rFonts w:ascii="Sylfaen" w:hAnsi="Sylfaen"/>
          <w:b/>
          <w:sz w:val="24"/>
          <w:u w:val="single"/>
          <w:lang w:val="ka-GE"/>
        </w:rPr>
        <w:t>18 907</w:t>
      </w:r>
      <w:r w:rsidR="00E73ADF" w:rsidRPr="00DA7131">
        <w:rPr>
          <w:rFonts w:ascii="Sylfaen" w:hAnsi="Sylfaen"/>
          <w:b/>
          <w:sz w:val="24"/>
          <w:u w:val="single"/>
        </w:rPr>
        <w:t xml:space="preserve"> </w:t>
      </w:r>
      <w:r w:rsidRPr="00DA7131">
        <w:rPr>
          <w:rFonts w:ascii="Sylfaen" w:hAnsi="Sylfaen"/>
          <w:sz w:val="24"/>
          <w:lang w:val="ka-GE"/>
        </w:rPr>
        <w:t>შემთხვევა.</w:t>
      </w:r>
    </w:p>
    <w:tbl>
      <w:tblPr>
        <w:tblW w:w="11096" w:type="dxa"/>
        <w:tblLook w:val="04A0" w:firstRow="1" w:lastRow="0" w:firstColumn="1" w:lastColumn="0" w:noHBand="0" w:noVBand="1"/>
      </w:tblPr>
      <w:tblGrid>
        <w:gridCol w:w="3769"/>
        <w:gridCol w:w="2944"/>
        <w:gridCol w:w="2170"/>
        <w:gridCol w:w="2213"/>
      </w:tblGrid>
      <w:tr w:rsidR="00132979" w:rsidRPr="007776F2" w:rsidTr="00132979">
        <w:trPr>
          <w:trHeight w:val="1548"/>
        </w:trPr>
        <w:tc>
          <w:tcPr>
            <w:tcW w:w="3769"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7776F2" w:rsidRPr="007776F2" w:rsidRDefault="007776F2" w:rsidP="007776F2">
            <w:pPr>
              <w:spacing w:after="0" w:line="240" w:lineRule="auto"/>
              <w:rPr>
                <w:rFonts w:ascii="Calibri" w:eastAsia="Times New Roman" w:hAnsi="Calibri" w:cs="Calibri"/>
                <w:b/>
                <w:bCs/>
                <w:color w:val="FFFFFF"/>
                <w:lang w:val="ka-GE"/>
              </w:rPr>
            </w:pPr>
            <w:r w:rsidRPr="007776F2">
              <w:rPr>
                <w:rFonts w:ascii="Calibri" w:eastAsia="Times New Roman" w:hAnsi="Calibri" w:cs="Calibri"/>
                <w:b/>
                <w:bCs/>
                <w:color w:val="FFFFFF"/>
                <w:lang w:val="ka-GE"/>
              </w:rPr>
              <w:t>ქვეყანა</w:t>
            </w:r>
          </w:p>
        </w:tc>
        <w:tc>
          <w:tcPr>
            <w:tcW w:w="2944"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7776F2" w:rsidRPr="007776F2" w:rsidRDefault="007776F2" w:rsidP="007776F2">
            <w:pPr>
              <w:spacing w:after="0" w:line="240" w:lineRule="auto"/>
              <w:rPr>
                <w:rFonts w:ascii="Calibri" w:eastAsia="Times New Roman" w:hAnsi="Calibri" w:cs="Calibri"/>
                <w:b/>
                <w:bCs/>
                <w:color w:val="FFFFFF"/>
                <w:lang w:val="ka-GE"/>
              </w:rPr>
            </w:pPr>
            <w:r w:rsidRPr="007776F2">
              <w:rPr>
                <w:rFonts w:ascii="Calibri" w:eastAsia="Times New Roman" w:hAnsi="Calibri" w:cs="Calibri"/>
                <w:b/>
                <w:bCs/>
                <w:color w:val="FFFFFF"/>
                <w:lang w:val="ka-GE"/>
              </w:rPr>
              <w:t>სულ დადასტურებული შემთხვევები</w:t>
            </w:r>
          </w:p>
        </w:tc>
        <w:tc>
          <w:tcPr>
            <w:tcW w:w="217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7776F2" w:rsidRPr="007776F2" w:rsidRDefault="007776F2" w:rsidP="007776F2">
            <w:pPr>
              <w:spacing w:after="0" w:line="240" w:lineRule="auto"/>
              <w:rPr>
                <w:rFonts w:ascii="Calibri" w:eastAsia="Times New Roman" w:hAnsi="Calibri" w:cs="Calibri"/>
                <w:b/>
                <w:bCs/>
                <w:color w:val="FFFFFF"/>
                <w:lang w:val="ka-GE"/>
              </w:rPr>
            </w:pPr>
            <w:r w:rsidRPr="007776F2">
              <w:rPr>
                <w:rFonts w:ascii="Calibri" w:eastAsia="Times New Roman" w:hAnsi="Calibri" w:cs="Calibri"/>
                <w:b/>
                <w:bCs/>
                <w:color w:val="FFFFFF"/>
                <w:lang w:val="ka-GE"/>
              </w:rPr>
              <w:t>სულ სიკვდილის შემთხვევები</w:t>
            </w:r>
          </w:p>
        </w:tc>
        <w:tc>
          <w:tcPr>
            <w:tcW w:w="2213"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7776F2" w:rsidRPr="007776F2" w:rsidRDefault="007776F2" w:rsidP="007776F2">
            <w:pPr>
              <w:spacing w:after="0" w:line="240" w:lineRule="auto"/>
              <w:rPr>
                <w:rFonts w:ascii="Calibri" w:eastAsia="Times New Roman" w:hAnsi="Calibri" w:cs="Calibri"/>
                <w:b/>
                <w:bCs/>
                <w:color w:val="FFFFFF"/>
                <w:lang w:val="ka-GE"/>
              </w:rPr>
            </w:pPr>
            <w:r w:rsidRPr="007776F2">
              <w:rPr>
                <w:rFonts w:ascii="Calibri" w:eastAsia="Times New Roman" w:hAnsi="Calibri" w:cs="Calibri"/>
                <w:b/>
                <w:bCs/>
                <w:color w:val="FFFFFF"/>
                <w:lang w:val="ka-GE"/>
              </w:rPr>
              <w:t>ლეტალობის მაჩვენებელი</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ჩინეთი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81218</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3281</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4.04</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იტალია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69176</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6820</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9.86</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ამერიკა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54867</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782</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1.43</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ესპანეთი</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42058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2991</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7.11</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გერმანია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32991</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159</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0.48</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ირანი</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24811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1934</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7.79</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საფრანგეთი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22304</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1100</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4.93</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შვეიცარია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9877</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122</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1.24</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სამხრეთ კორეა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9137</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126</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1.38</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გაერთიანებული სამეფო</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8077</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422</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5.22</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ნიდერლანდები</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5560</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276</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4.96</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ავსტრია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5283</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28</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0.53</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ბელგია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4269</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122</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2.86</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ნორვეგია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2866</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12</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0.42</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კანადა</w:t>
            </w:r>
          </w:p>
        </w:tc>
        <w:tc>
          <w:tcPr>
            <w:tcW w:w="294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2792</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26</w:t>
            </w:r>
          </w:p>
        </w:tc>
        <w:tc>
          <w:tcPr>
            <w:tcW w:w="22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0.93</w:t>
            </w:r>
          </w:p>
        </w:tc>
      </w:tr>
      <w:tr w:rsidR="007776F2" w:rsidRPr="007776F2" w:rsidTr="00132979">
        <w:trPr>
          <w:trHeight w:val="514"/>
        </w:trPr>
        <w:tc>
          <w:tcPr>
            <w:tcW w:w="3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rPr>
                <w:rFonts w:ascii="Calibri" w:eastAsia="Times New Roman" w:hAnsi="Calibri" w:cs="Calibri"/>
                <w:color w:val="000000"/>
                <w:lang w:val="ka-GE"/>
              </w:rPr>
            </w:pPr>
            <w:r w:rsidRPr="007776F2">
              <w:rPr>
                <w:rFonts w:ascii="Calibri" w:eastAsia="Times New Roman" w:hAnsi="Calibri" w:cs="Calibri"/>
                <w:color w:val="000000"/>
                <w:lang w:val="ka-GE"/>
              </w:rPr>
              <w:t>პორტუგალია</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2362</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33</w:t>
            </w:r>
          </w:p>
        </w:tc>
        <w:tc>
          <w:tcPr>
            <w:tcW w:w="2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6F2" w:rsidRPr="007776F2" w:rsidRDefault="007776F2" w:rsidP="007776F2">
            <w:pPr>
              <w:spacing w:after="0" w:line="240" w:lineRule="auto"/>
              <w:jc w:val="right"/>
              <w:rPr>
                <w:rFonts w:ascii="Calibri" w:eastAsia="Times New Roman" w:hAnsi="Calibri" w:cs="Calibri"/>
                <w:color w:val="000000"/>
                <w:lang w:val="ka-GE"/>
              </w:rPr>
            </w:pPr>
            <w:r w:rsidRPr="007776F2">
              <w:rPr>
                <w:rFonts w:ascii="Calibri" w:eastAsia="Times New Roman" w:hAnsi="Calibri" w:cs="Calibri"/>
                <w:color w:val="000000"/>
                <w:lang w:val="ka-GE"/>
              </w:rPr>
              <w:t>1.40</w:t>
            </w:r>
          </w:p>
        </w:tc>
      </w:tr>
    </w:tbl>
    <w:p w:rsidR="005E373D" w:rsidRDefault="005E373D" w:rsidP="00D659B9">
      <w:pPr>
        <w:spacing w:after="0"/>
        <w:jc w:val="both"/>
        <w:rPr>
          <w:rFonts w:ascii="Sylfaen" w:hAnsi="Sylfaen"/>
          <w:sz w:val="24"/>
          <w:lang w:val="ka-GE"/>
        </w:rPr>
      </w:pPr>
    </w:p>
    <w:p w:rsidR="00DA1F12" w:rsidRDefault="00DA1F12" w:rsidP="00D659B9">
      <w:pPr>
        <w:spacing w:after="0"/>
        <w:jc w:val="both"/>
        <w:rPr>
          <w:rFonts w:ascii="Sylfaen" w:hAnsi="Sylfaen"/>
          <w:sz w:val="24"/>
          <w:lang w:val="ka-GE"/>
        </w:rPr>
      </w:pPr>
    </w:p>
    <w:p w:rsidR="00DA1F12" w:rsidRDefault="00DA1F12" w:rsidP="00D659B9">
      <w:pPr>
        <w:spacing w:after="0"/>
        <w:jc w:val="both"/>
        <w:rPr>
          <w:rFonts w:ascii="Sylfaen" w:hAnsi="Sylfaen"/>
          <w:sz w:val="24"/>
          <w:lang w:val="ka-GE"/>
        </w:rPr>
      </w:pPr>
      <w:r>
        <w:rPr>
          <w:rFonts w:ascii="Sylfaen" w:hAnsi="Sylfaen"/>
          <w:sz w:val="24"/>
          <w:lang w:val="ka-GE"/>
        </w:rPr>
        <w:t>რეკომენდაციები:</w:t>
      </w:r>
    </w:p>
    <w:p w:rsidR="00DA1F12" w:rsidRDefault="00DA1F12" w:rsidP="00D659B9">
      <w:pPr>
        <w:spacing w:after="0"/>
        <w:jc w:val="both"/>
        <w:rPr>
          <w:rFonts w:ascii="Sylfaen" w:hAnsi="Sylfaen"/>
          <w:sz w:val="24"/>
          <w:lang w:val="ka-GE"/>
        </w:rPr>
      </w:pPr>
    </w:p>
    <w:p w:rsidR="00DA1F12" w:rsidRDefault="00DA1F12" w:rsidP="00DA1F12">
      <w:pPr>
        <w:pStyle w:val="ListParagraph"/>
        <w:numPr>
          <w:ilvl w:val="0"/>
          <w:numId w:val="9"/>
        </w:numPr>
        <w:spacing w:after="0"/>
        <w:jc w:val="both"/>
        <w:rPr>
          <w:rFonts w:ascii="Sylfaen" w:hAnsi="Sylfaen"/>
          <w:sz w:val="24"/>
          <w:lang w:val="ka-GE"/>
        </w:rPr>
      </w:pPr>
      <w:r>
        <w:rPr>
          <w:rFonts w:ascii="Sylfaen" w:hAnsi="Sylfaen"/>
          <w:sz w:val="24"/>
          <w:lang w:val="ka-GE"/>
        </w:rPr>
        <w:t xml:space="preserve">განსახილველია მთელი ქვეყნის მაშტაბით გაძლიერებული კარანტინის (მარნეულისა და ბოლნისის) მსგავსად გამოცხადების საკითხი. ჩემის გათვლებით უნდა დავაკვირდეთ </w:t>
      </w:r>
      <w:r>
        <w:rPr>
          <w:rFonts w:ascii="Sylfaen" w:hAnsi="Sylfaen"/>
          <w:sz w:val="24"/>
          <w:lang w:val="ka-GE"/>
        </w:rPr>
        <w:lastRenderedPageBreak/>
        <w:t>როგორ სროლდება ეს მარნეულსა და ბოლნისში, გავითვალისწინოთ სუსტი მხარეები, აიწონ-დაიწონოს პრო და კონტრა თუ რას მოგვცემს მთელი ქვეყნის მაშტაბით</w:t>
      </w:r>
      <w:r w:rsidR="00F91234">
        <w:rPr>
          <w:rFonts w:ascii="Sylfaen" w:hAnsi="Sylfaen"/>
          <w:sz w:val="24"/>
          <w:lang w:val="ka-GE"/>
        </w:rPr>
        <w:t>, და რაც მთავარია, განხორციელების რესურსები და იმის მიხედვით იქნეს გადაწყვეტილება.</w:t>
      </w:r>
    </w:p>
    <w:p w:rsidR="00F91234" w:rsidRDefault="00F91234" w:rsidP="00DA1F12">
      <w:pPr>
        <w:pStyle w:val="ListParagraph"/>
        <w:numPr>
          <w:ilvl w:val="0"/>
          <w:numId w:val="9"/>
        </w:numPr>
        <w:spacing w:after="0"/>
        <w:jc w:val="both"/>
        <w:rPr>
          <w:rFonts w:ascii="Sylfaen" w:hAnsi="Sylfaen"/>
          <w:sz w:val="24"/>
          <w:lang w:val="ka-GE"/>
        </w:rPr>
      </w:pPr>
      <w:r>
        <w:rPr>
          <w:rFonts w:ascii="Sylfaen" w:hAnsi="Sylfaen"/>
          <w:sz w:val="24"/>
          <w:lang w:val="ka-GE"/>
        </w:rPr>
        <w:t xml:space="preserve"> სასწრაფოდ ჩამოსაყალიბებელია ყველა მუნიციპალიტეტში თითო მაინც ცხელების კლინიკა (თბილისში ალბათ 5 მაინც) და იქ კონცენტრირება ცხელებითა და რესპირაციული სიმპტომებით მიმდინარე ავადმყოფების. კარგი იქნება თუ ასეთს შევძლებთ არა კლინიკებში, არამედ გარეთ კარვებში (თუ ამის რესურსი არის).</w:t>
      </w:r>
    </w:p>
    <w:p w:rsidR="00F91234" w:rsidRDefault="00F91234" w:rsidP="00DA1F12">
      <w:pPr>
        <w:pStyle w:val="ListParagraph"/>
        <w:numPr>
          <w:ilvl w:val="0"/>
          <w:numId w:val="9"/>
        </w:numPr>
        <w:spacing w:after="0"/>
        <w:jc w:val="both"/>
        <w:rPr>
          <w:rFonts w:ascii="Sylfaen" w:hAnsi="Sylfaen"/>
          <w:sz w:val="24"/>
          <w:lang w:val="ka-GE"/>
        </w:rPr>
      </w:pPr>
      <w:r>
        <w:rPr>
          <w:rFonts w:ascii="Sylfaen" w:hAnsi="Sylfaen"/>
          <w:sz w:val="24"/>
          <w:lang w:val="ka-GE"/>
        </w:rPr>
        <w:t>სანამ ანტიგენზე დამყარებული სწრაფი ტესტები იქნება ხელმისაწვდომი მანამ უნდა როგორმე პცრ ტექნოლოგიებმა შეგვაძლებინოს ყველა საჭიროს გატესტვა. რამოდენიმე დღ</w:t>
      </w:r>
      <w:r w:rsidR="008B4DF6">
        <w:rPr>
          <w:rFonts w:ascii="Sylfaen" w:hAnsi="Sylfaen"/>
          <w:sz w:val="24"/>
          <w:lang w:val="ka-GE"/>
        </w:rPr>
        <w:t>ის განმავლობაში,</w:t>
      </w:r>
      <w:r>
        <w:rPr>
          <w:rFonts w:ascii="Sylfaen" w:hAnsi="Sylfaen"/>
          <w:sz w:val="24"/>
          <w:lang w:val="ka-GE"/>
        </w:rPr>
        <w:t xml:space="preserve"> დღეში დაგვჭირდება უხეში გათვლებით 500</w:t>
      </w:r>
      <w:r w:rsidR="008B4DF6">
        <w:rPr>
          <w:rFonts w:ascii="Sylfaen" w:hAnsi="Sylfaen"/>
          <w:sz w:val="24"/>
          <w:lang w:val="ka-GE"/>
        </w:rPr>
        <w:t>-მდე</w:t>
      </w:r>
      <w:r>
        <w:rPr>
          <w:rFonts w:ascii="Sylfaen" w:hAnsi="Sylfaen"/>
          <w:sz w:val="24"/>
          <w:lang w:val="ka-GE"/>
        </w:rPr>
        <w:t xml:space="preserve"> ადამიანის ტესტირება, რაც ტექნოლოგიურად და ლოჯისტიკურად რთული იქნება. დღეს ლუგარი, ჩვენი ბათუმი, ქუთაისი და ინფექციური აკეთებს დაახლოებით 100-დან 150-მდე, სიმძლავრე ამ ოთხს მეტი აქვთ, დაახლოებით 400-მდე, მაგრამ პრობლემაა ნიმუშების ამღებები, რომელთა სწრაფი ტრეინინგი უნდა მოხდეს. ტრეინინგები უნდა ჩატარდეს მულაჟებზე და აქ უნდა მოგვეხმაროს სამედიცინო უნივერსიტეტი და რამოდენიმე უმაღლესი სასწავლებელი სადაც მულაჟების რესურსია. ამჟამად ქვეყნის მაშტაბით </w:t>
      </w:r>
      <w:r w:rsidR="008B4DF6">
        <w:rPr>
          <w:rFonts w:ascii="Sylfaen" w:hAnsi="Sylfaen"/>
          <w:sz w:val="24"/>
          <w:lang w:val="ka-GE"/>
        </w:rPr>
        <w:t xml:space="preserve">დახელოვნებული ნიმუშის ამღები </w:t>
      </w:r>
      <w:r>
        <w:rPr>
          <w:rFonts w:ascii="Sylfaen" w:hAnsi="Sylfaen"/>
          <w:sz w:val="24"/>
          <w:lang w:val="ka-GE"/>
        </w:rPr>
        <w:t xml:space="preserve">დაახლოებით </w:t>
      </w:r>
      <w:r w:rsidR="008B4DF6">
        <w:rPr>
          <w:rFonts w:ascii="Sylfaen" w:hAnsi="Sylfaen"/>
          <w:sz w:val="24"/>
          <w:lang w:val="ka-GE"/>
        </w:rPr>
        <w:t xml:space="preserve">50-მდე ეპიდემიოლოგია, მაგრამ კონცენტრირებულია თბილისში, რამოდენიმე დიდ ქალაქში და ისინი ასევე ბევრ სხვა საქმეს აკეთებენ პარალელურად. ამისთვის უნდა პროცესში ჩაერთონ კერძო ლაბორატორიები ვისაც პცრ ტექნოლოგიები აქვთ (ციტო, მეგალაბი, ავერსი და სხვა). ეს ყველაფერი საჭირო იქნება კრიტიკულად ორი კვირა მაინც სანამ სწრაფი ტესტები შემოვა (როგორც ვიცი სამინისტროს გრაფიკით 200 000 ტესტი უნდა იყოს 4 აპრილისთვის). სწრაფი ტესტებით ამ ტიპის ტრიაჟი უფრო სწრაფად და მარტივად წავა სადაც გამოვიყენებთ ც ჰეპატიტის კვლევებში ჩართულ პერსონალს. თუ ამ მოდელზე წავალთ საჭიროა სასწრაფოდ შეკრება, გადაწყვეტილებების მიღება. ჩვენ ცენტრს დღევანდელ დღეს რესურსი აქვს დაახლოებით 3000 -მდე ნიმუშის კვლევის და ამ კვირის ბოლოსთვის დიდი ალბათობით შევავსებთ 6 ათასამდე, ხოლო მომავალ კვირაში 20 000-მდე. </w:t>
      </w:r>
    </w:p>
    <w:p w:rsidR="008B4DF6" w:rsidRDefault="008B4DF6" w:rsidP="00DA1F12">
      <w:pPr>
        <w:pStyle w:val="ListParagraph"/>
        <w:numPr>
          <w:ilvl w:val="0"/>
          <w:numId w:val="9"/>
        </w:numPr>
        <w:spacing w:after="0"/>
        <w:jc w:val="both"/>
        <w:rPr>
          <w:rFonts w:ascii="Sylfaen" w:hAnsi="Sylfaen"/>
          <w:sz w:val="24"/>
          <w:lang w:val="ka-GE"/>
        </w:rPr>
      </w:pPr>
      <w:r>
        <w:rPr>
          <w:rFonts w:ascii="Sylfaen" w:hAnsi="Sylfaen"/>
          <w:sz w:val="24"/>
          <w:lang w:val="ka-GE"/>
        </w:rPr>
        <w:t>ძალიან მაღელევებს სამედიცინო პერსონალის პერსონალური დაცვის საშუალებების</w:t>
      </w:r>
      <w:r w:rsidR="00CA2B64">
        <w:rPr>
          <w:rFonts w:ascii="Sylfaen" w:hAnsi="Sylfaen"/>
          <w:sz w:val="24"/>
          <w:lang w:val="ka-GE"/>
        </w:rPr>
        <w:t xml:space="preserve"> დეფიციტი და თუ ქვეყნის პირველი პირების დონეზე არ მოხდა კომუნიკაცია რამოდენიმე დიდ სახელმწიფოსთან გაგვიჭირდება შევსება. ჩემის გათვლებით ხელუხლებელ მარაგში სულ მცირე 100 000 კომპლექტი და 2-3 მილიონი პირბადე უნდა იდოს. სამედიცინო პერსონალს, უკვე რაც ინფორმაცია მომდის, ეშინიათ მისვლა ე.წ. შესაძლო შემთხვევებთან და მათი გასინჯვა.</w:t>
      </w:r>
      <w:r w:rsidR="00825811">
        <w:rPr>
          <w:rFonts w:ascii="Sylfaen" w:hAnsi="Sylfaen"/>
          <w:sz w:val="24"/>
          <w:lang w:val="ka-GE"/>
        </w:rPr>
        <w:t xml:space="preserve"> ეს უფრო დიდი პრობლემა გახდება როცა პირველადი ჯანდაცვა ჩაერთობა პროცესებში.</w:t>
      </w:r>
    </w:p>
    <w:p w:rsidR="00CA2B64" w:rsidRDefault="00CA2B64" w:rsidP="00DA1F12">
      <w:pPr>
        <w:pStyle w:val="ListParagraph"/>
        <w:numPr>
          <w:ilvl w:val="0"/>
          <w:numId w:val="9"/>
        </w:numPr>
        <w:spacing w:after="0"/>
        <w:jc w:val="both"/>
        <w:rPr>
          <w:rFonts w:ascii="Sylfaen" w:hAnsi="Sylfaen"/>
          <w:sz w:val="24"/>
          <w:lang w:val="ka-GE"/>
        </w:rPr>
      </w:pPr>
      <w:r>
        <w:rPr>
          <w:rFonts w:ascii="Sylfaen" w:hAnsi="Sylfaen"/>
          <w:sz w:val="24"/>
          <w:lang w:val="ka-GE"/>
        </w:rPr>
        <w:t>როგორც არსებობს კლინიკური მართვის ჯგუფი ასევე საჭიროა სამი ძლიერი სამენჯმენტო ჯგუფის ჩამოყალიბება - საავადმყოფოების მართვის, პირველადი ჯანდაცვის მართვის (შეიძლება ეს ერთადაც იყოს) და ლაბორატორიული მართვის. აქ საჭიროა გამოცდილი პერსონალი (ვისაც ემერჯენსის მართვის გამოცდილება აქვს), ღვთის წყალობით ასეთები კიდევ არიან ქვეყანაში და არ არის ამ ეტაპზე საჭირო ვინ, როდის, სად და რომელ მთავრობაში მუშაობდა. საჭიროა ძალიან მკაცრი ვერტიკალი ამ ჯგუფების მუ</w:t>
      </w:r>
      <w:r w:rsidR="005024FA">
        <w:rPr>
          <w:rFonts w:ascii="Sylfaen" w:hAnsi="Sylfaen"/>
          <w:sz w:val="24"/>
          <w:lang w:val="ka-GE"/>
        </w:rPr>
        <w:t>შ</w:t>
      </w:r>
      <w:r>
        <w:rPr>
          <w:rFonts w:ascii="Sylfaen" w:hAnsi="Sylfaen"/>
          <w:sz w:val="24"/>
          <w:lang w:val="ka-GE"/>
        </w:rPr>
        <w:t>აობის.</w:t>
      </w:r>
      <w:r w:rsidR="005024FA">
        <w:rPr>
          <w:rFonts w:ascii="Sylfaen" w:hAnsi="Sylfaen"/>
          <w:sz w:val="24"/>
          <w:lang w:val="ka-GE"/>
        </w:rPr>
        <w:t xml:space="preserve"> განსაკუთრებული მნიშვნელობა აქვს ინტენსიური თერაპიის </w:t>
      </w:r>
      <w:r w:rsidR="005024FA">
        <w:rPr>
          <w:rFonts w:ascii="Sylfaen" w:hAnsi="Sylfaen"/>
          <w:sz w:val="24"/>
          <w:lang w:val="ka-GE"/>
        </w:rPr>
        <w:lastRenderedPageBreak/>
        <w:t>სამედიცინო პერსონალის და რეანიმატოლოგების სათითაოდ აღრიცხვასა და მათ სწორ მართვას. ვინ მუშაობს, ვინ როდის ისვენებს, რათა ერთდროულად არ დაინფიცირდეს შტაფი. უკვე უნდა განისაზღვროს მათის (კრიტიკულად აუცილებელი პერსონალის) ანაზრაურების სისტემა, რათა მათ იცოდნენ რომ შრომა სათანადოდ აუნაზღაურდებათ. ისინი უკვე ვეღარ მოემსახურებიან გეგმიურ პაციენტებს, შესაბამისად დააკლდებათ შემოსავალი სერიოზულად.</w:t>
      </w:r>
    </w:p>
    <w:p w:rsidR="00CA2B64" w:rsidRDefault="00CA2B64" w:rsidP="00DA1F12">
      <w:pPr>
        <w:pStyle w:val="ListParagraph"/>
        <w:numPr>
          <w:ilvl w:val="0"/>
          <w:numId w:val="9"/>
        </w:numPr>
        <w:spacing w:after="0"/>
        <w:jc w:val="both"/>
        <w:rPr>
          <w:rFonts w:ascii="Sylfaen" w:hAnsi="Sylfaen"/>
          <w:sz w:val="24"/>
          <w:lang w:val="ka-GE"/>
        </w:rPr>
      </w:pPr>
      <w:r>
        <w:rPr>
          <w:rFonts w:ascii="Sylfaen" w:hAnsi="Sylfaen"/>
          <w:sz w:val="24"/>
          <w:lang w:val="ka-GE"/>
        </w:rPr>
        <w:t xml:space="preserve">ფინანსური რესურსების სწრაფი მობილიზება და შესყიდვები, ბევრი ბიუროკრატიული პროცედურებია კვლავ შესყიდვებზე. </w:t>
      </w:r>
    </w:p>
    <w:p w:rsidR="00CA2B64" w:rsidRDefault="00CA2B64" w:rsidP="00CA2B64">
      <w:pPr>
        <w:spacing w:after="0"/>
        <w:jc w:val="both"/>
        <w:rPr>
          <w:rFonts w:ascii="Sylfaen" w:hAnsi="Sylfaen"/>
          <w:sz w:val="24"/>
          <w:lang w:val="ka-GE"/>
        </w:rPr>
      </w:pPr>
    </w:p>
    <w:p w:rsidR="00CA2B64" w:rsidRPr="00CA2B64" w:rsidRDefault="00CA2B64" w:rsidP="00CA2B64">
      <w:pPr>
        <w:spacing w:after="0"/>
        <w:jc w:val="both"/>
        <w:rPr>
          <w:rFonts w:ascii="Sylfaen" w:hAnsi="Sylfaen"/>
          <w:sz w:val="24"/>
          <w:lang w:val="ka-GE"/>
        </w:rPr>
      </w:pPr>
      <w:r>
        <w:rPr>
          <w:rFonts w:ascii="Sylfaen" w:hAnsi="Sylfaen"/>
          <w:sz w:val="24"/>
          <w:lang w:val="ka-GE"/>
        </w:rPr>
        <w:t xml:space="preserve">       ვფიქრობ ერთ კვირაში</w:t>
      </w:r>
      <w:r w:rsidR="002E0934">
        <w:rPr>
          <w:rFonts w:ascii="Sylfaen" w:hAnsi="Sylfaen"/>
          <w:sz w:val="24"/>
          <w:lang w:val="ka-GE"/>
        </w:rPr>
        <w:t>, 10 დღეში</w:t>
      </w:r>
      <w:bookmarkStart w:id="0" w:name="_GoBack"/>
      <w:bookmarkEnd w:id="0"/>
      <w:r>
        <w:rPr>
          <w:rFonts w:ascii="Sylfaen" w:hAnsi="Sylfaen"/>
          <w:sz w:val="24"/>
          <w:lang w:val="ka-GE"/>
        </w:rPr>
        <w:t xml:space="preserve"> შევალთ უკვე კრიტიკულ ფაზაში და გასაძლიერებელი</w:t>
      </w:r>
      <w:r w:rsidR="005024FA">
        <w:rPr>
          <w:rFonts w:ascii="Sylfaen" w:hAnsi="Sylfaen"/>
          <w:sz w:val="24"/>
          <w:lang w:val="ka-GE"/>
        </w:rPr>
        <w:t>ა</w:t>
      </w:r>
      <w:r>
        <w:rPr>
          <w:rFonts w:ascii="Sylfaen" w:hAnsi="Sylfaen"/>
          <w:sz w:val="24"/>
          <w:lang w:val="ka-GE"/>
        </w:rPr>
        <w:t xml:space="preserve"> ბევრი კიდევ სხვა მიმართულება.</w:t>
      </w:r>
      <w:r w:rsidR="005024FA">
        <w:rPr>
          <w:rFonts w:ascii="Sylfaen" w:hAnsi="Sylfaen"/>
          <w:sz w:val="24"/>
          <w:lang w:val="ka-GE"/>
        </w:rPr>
        <w:t xml:space="preserve"> მაგალითად ერთ-ერთი - კრიტიკულად მცირდება სისხლის ჩაბარების მაჩვენებელი ქვეყანაში გადაადგილებების და გარეთ გამოსვლის შეზღუდვის გამო. სპეციფიურად შეიძლება ამ დაავადებაზე სისხლის პროდუქტები არ არის კრიტიკული, მაგრამ ისინი მიეკუთვნებიან სტრატეგიულს და საჭიროა მოხალისეების (სტუდენტები, ჯარი და ა.შ.) მობილიზაციაზე რომ სისხლის პროდუქტების დეფიციტი არ შეიქმნას ქვეყანაში. ასეთი პრობლემა კიდევ ბევრი იჩენს თავს ემერჯენსის დროს და საჭიროა მზადყოფნის კიდევ მეტად გაძლიერება.</w:t>
      </w:r>
    </w:p>
    <w:sectPr w:rsidR="00CA2B64" w:rsidRPr="00CA2B64"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664366"/>
    <w:multiLevelType w:val="hybridMultilevel"/>
    <w:tmpl w:val="611A7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4634B"/>
    <w:rsid w:val="0005426B"/>
    <w:rsid w:val="00070099"/>
    <w:rsid w:val="0007105D"/>
    <w:rsid w:val="000750CA"/>
    <w:rsid w:val="00076E48"/>
    <w:rsid w:val="0008533C"/>
    <w:rsid w:val="00091EFF"/>
    <w:rsid w:val="0009214E"/>
    <w:rsid w:val="0009302D"/>
    <w:rsid w:val="00093B40"/>
    <w:rsid w:val="000A5145"/>
    <w:rsid w:val="000B2789"/>
    <w:rsid w:val="000B3649"/>
    <w:rsid w:val="000B4D13"/>
    <w:rsid w:val="000C6271"/>
    <w:rsid w:val="000E41E8"/>
    <w:rsid w:val="00101D27"/>
    <w:rsid w:val="00123C7D"/>
    <w:rsid w:val="00132979"/>
    <w:rsid w:val="00136266"/>
    <w:rsid w:val="001720A4"/>
    <w:rsid w:val="00174B80"/>
    <w:rsid w:val="001943DE"/>
    <w:rsid w:val="0019651A"/>
    <w:rsid w:val="001A7442"/>
    <w:rsid w:val="001B5EA3"/>
    <w:rsid w:val="001C6A58"/>
    <w:rsid w:val="001C6B0C"/>
    <w:rsid w:val="001D5918"/>
    <w:rsid w:val="001F50D3"/>
    <w:rsid w:val="002011B2"/>
    <w:rsid w:val="00204FD7"/>
    <w:rsid w:val="00213366"/>
    <w:rsid w:val="002304CB"/>
    <w:rsid w:val="002322F7"/>
    <w:rsid w:val="00233A0F"/>
    <w:rsid w:val="00270113"/>
    <w:rsid w:val="00280EFC"/>
    <w:rsid w:val="00285EDE"/>
    <w:rsid w:val="002A55EE"/>
    <w:rsid w:val="002B017E"/>
    <w:rsid w:val="002B2EBF"/>
    <w:rsid w:val="002B42BE"/>
    <w:rsid w:val="002B4BDD"/>
    <w:rsid w:val="002E0934"/>
    <w:rsid w:val="002E1E14"/>
    <w:rsid w:val="002F0247"/>
    <w:rsid w:val="00354216"/>
    <w:rsid w:val="00382CA8"/>
    <w:rsid w:val="0038500E"/>
    <w:rsid w:val="0039167B"/>
    <w:rsid w:val="00392660"/>
    <w:rsid w:val="00396491"/>
    <w:rsid w:val="003B3FCE"/>
    <w:rsid w:val="003E6DD0"/>
    <w:rsid w:val="00416B50"/>
    <w:rsid w:val="00422248"/>
    <w:rsid w:val="0043408A"/>
    <w:rsid w:val="00495EDD"/>
    <w:rsid w:val="004B6097"/>
    <w:rsid w:val="004B6972"/>
    <w:rsid w:val="004C002B"/>
    <w:rsid w:val="004C7D25"/>
    <w:rsid w:val="004D34D5"/>
    <w:rsid w:val="004D6116"/>
    <w:rsid w:val="004D7ECF"/>
    <w:rsid w:val="004F7B06"/>
    <w:rsid w:val="005024FA"/>
    <w:rsid w:val="005124BB"/>
    <w:rsid w:val="00526DC4"/>
    <w:rsid w:val="005442A1"/>
    <w:rsid w:val="00557EFF"/>
    <w:rsid w:val="005705C5"/>
    <w:rsid w:val="0057782F"/>
    <w:rsid w:val="0058504C"/>
    <w:rsid w:val="005929F8"/>
    <w:rsid w:val="0059326A"/>
    <w:rsid w:val="0059472A"/>
    <w:rsid w:val="005A7120"/>
    <w:rsid w:val="005B01D8"/>
    <w:rsid w:val="005C6E5E"/>
    <w:rsid w:val="005E373D"/>
    <w:rsid w:val="00615C80"/>
    <w:rsid w:val="00632747"/>
    <w:rsid w:val="00632D39"/>
    <w:rsid w:val="006348C5"/>
    <w:rsid w:val="006C331E"/>
    <w:rsid w:val="006D2975"/>
    <w:rsid w:val="006F2A9C"/>
    <w:rsid w:val="00700A77"/>
    <w:rsid w:val="00713E27"/>
    <w:rsid w:val="00743B9A"/>
    <w:rsid w:val="0074756C"/>
    <w:rsid w:val="00761CC8"/>
    <w:rsid w:val="007776F2"/>
    <w:rsid w:val="007A2170"/>
    <w:rsid w:val="007A765D"/>
    <w:rsid w:val="007E388A"/>
    <w:rsid w:val="007E7CE6"/>
    <w:rsid w:val="008003F1"/>
    <w:rsid w:val="00805C2F"/>
    <w:rsid w:val="008103E9"/>
    <w:rsid w:val="00812259"/>
    <w:rsid w:val="00820032"/>
    <w:rsid w:val="00822FCC"/>
    <w:rsid w:val="00825811"/>
    <w:rsid w:val="00852279"/>
    <w:rsid w:val="0087034E"/>
    <w:rsid w:val="00890B3E"/>
    <w:rsid w:val="008A2064"/>
    <w:rsid w:val="008B24C6"/>
    <w:rsid w:val="008B4DF6"/>
    <w:rsid w:val="008B563D"/>
    <w:rsid w:val="008D1766"/>
    <w:rsid w:val="008E2A28"/>
    <w:rsid w:val="008E6819"/>
    <w:rsid w:val="008E7011"/>
    <w:rsid w:val="008F0BC4"/>
    <w:rsid w:val="008F72C4"/>
    <w:rsid w:val="00911F07"/>
    <w:rsid w:val="0094121D"/>
    <w:rsid w:val="00967EBF"/>
    <w:rsid w:val="00985992"/>
    <w:rsid w:val="0098614F"/>
    <w:rsid w:val="009D2910"/>
    <w:rsid w:val="00A073EA"/>
    <w:rsid w:val="00A13A74"/>
    <w:rsid w:val="00A17366"/>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E52D5"/>
    <w:rsid w:val="00AF04D8"/>
    <w:rsid w:val="00B12887"/>
    <w:rsid w:val="00B16823"/>
    <w:rsid w:val="00B42A45"/>
    <w:rsid w:val="00B843ED"/>
    <w:rsid w:val="00B97CB9"/>
    <w:rsid w:val="00BA0C7C"/>
    <w:rsid w:val="00BA4D43"/>
    <w:rsid w:val="00BD4F1C"/>
    <w:rsid w:val="00BE1603"/>
    <w:rsid w:val="00BE3607"/>
    <w:rsid w:val="00BF0D55"/>
    <w:rsid w:val="00C05535"/>
    <w:rsid w:val="00C60474"/>
    <w:rsid w:val="00C706B6"/>
    <w:rsid w:val="00C7140C"/>
    <w:rsid w:val="00C71B07"/>
    <w:rsid w:val="00C745FA"/>
    <w:rsid w:val="00C92A28"/>
    <w:rsid w:val="00CA2B64"/>
    <w:rsid w:val="00CA5D91"/>
    <w:rsid w:val="00CD58B0"/>
    <w:rsid w:val="00CF0E0A"/>
    <w:rsid w:val="00CF7AA6"/>
    <w:rsid w:val="00D13CAD"/>
    <w:rsid w:val="00D158D6"/>
    <w:rsid w:val="00D2219C"/>
    <w:rsid w:val="00D52E3C"/>
    <w:rsid w:val="00D530F3"/>
    <w:rsid w:val="00D55167"/>
    <w:rsid w:val="00D55C95"/>
    <w:rsid w:val="00D5682F"/>
    <w:rsid w:val="00D60002"/>
    <w:rsid w:val="00D659B9"/>
    <w:rsid w:val="00D6607D"/>
    <w:rsid w:val="00D75203"/>
    <w:rsid w:val="00D90926"/>
    <w:rsid w:val="00D94786"/>
    <w:rsid w:val="00D96E4A"/>
    <w:rsid w:val="00DA1F12"/>
    <w:rsid w:val="00DA3A70"/>
    <w:rsid w:val="00DA4427"/>
    <w:rsid w:val="00DA7131"/>
    <w:rsid w:val="00DC6C68"/>
    <w:rsid w:val="00DF1435"/>
    <w:rsid w:val="00E22655"/>
    <w:rsid w:val="00E34A3B"/>
    <w:rsid w:val="00E43FB9"/>
    <w:rsid w:val="00E73ADF"/>
    <w:rsid w:val="00E77101"/>
    <w:rsid w:val="00E93979"/>
    <w:rsid w:val="00EB0DB4"/>
    <w:rsid w:val="00EC2D3B"/>
    <w:rsid w:val="00EC34A9"/>
    <w:rsid w:val="00EE574D"/>
    <w:rsid w:val="00EF0B7A"/>
    <w:rsid w:val="00EF1ED4"/>
    <w:rsid w:val="00F02599"/>
    <w:rsid w:val="00F03F0A"/>
    <w:rsid w:val="00F527BA"/>
    <w:rsid w:val="00F529B6"/>
    <w:rsid w:val="00F635ED"/>
    <w:rsid w:val="00F648D0"/>
    <w:rsid w:val="00F6513B"/>
    <w:rsid w:val="00F72B9F"/>
    <w:rsid w:val="00F91234"/>
    <w:rsid w:val="00F912AE"/>
    <w:rsid w:val="00FB2446"/>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Sheet1!$A$2:$A$29</c:f>
              <c:numCache>
                <c:formatCode>d\-mmm</c:formatCode>
                <c:ptCount val="28"/>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numCache>
            </c:numRef>
          </c:cat>
          <c:val>
            <c:numRef>
              <c:f>Sheet1!$B$2:$B$29</c:f>
              <c:numCache>
                <c:formatCode>General</c:formatCode>
                <c:ptCount val="28"/>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numCache>
            </c:numRef>
          </c:val>
        </c:ser>
        <c:dLbls>
          <c:showLegendKey val="0"/>
          <c:showVal val="1"/>
          <c:showCatName val="0"/>
          <c:showSerName val="0"/>
          <c:showPercent val="0"/>
          <c:showBubbleSize val="0"/>
        </c:dLbls>
        <c:gapWidth val="150"/>
        <c:axId val="-848452128"/>
        <c:axId val="-848455392"/>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Sheet1!$A$2:$A$29</c:f>
              <c:numCache>
                <c:formatCode>d\-mmm</c:formatCode>
                <c:ptCount val="28"/>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numCache>
            </c:numRef>
          </c:cat>
          <c:val>
            <c:numRef>
              <c:f>Sheet1!$C$2:$C$29</c:f>
              <c:numCache>
                <c:formatCode>General</c:formatCode>
                <c:ptCount val="28"/>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numCache>
            </c:numRef>
          </c:val>
          <c:smooth val="0"/>
        </c:ser>
        <c:dLbls>
          <c:showLegendKey val="0"/>
          <c:showVal val="0"/>
          <c:showCatName val="0"/>
          <c:showSerName val="0"/>
          <c:showPercent val="0"/>
          <c:showBubbleSize val="0"/>
        </c:dLbls>
        <c:marker val="1"/>
        <c:smooth val="0"/>
        <c:axId val="-848452128"/>
        <c:axId val="-848455392"/>
      </c:lineChart>
      <c:dateAx>
        <c:axId val="-848452128"/>
        <c:scaling>
          <c:orientation val="minMax"/>
        </c:scaling>
        <c:delete val="0"/>
        <c:axPos val="b"/>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48455392"/>
        <c:crosses val="autoZero"/>
        <c:auto val="1"/>
        <c:lblOffset val="100"/>
        <c:baseTimeUnit val="days"/>
      </c:dateAx>
      <c:valAx>
        <c:axId val="-848455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48452128"/>
        <c:crosses val="autoZero"/>
        <c:crossBetween val="between"/>
      </c:valAx>
      <c:spPr>
        <a:noFill/>
        <a:ln>
          <a:noFill/>
        </a:ln>
        <a:effectLst/>
      </c:spPr>
    </c:plotArea>
    <c:legend>
      <c:legendPos val="b"/>
      <c:layout>
        <c:manualLayout>
          <c:xMode val="edge"/>
          <c:yMode val="edge"/>
          <c:x val="0.14797535487217189"/>
          <c:y val="5.271251113127725E-2"/>
          <c:w val="0.65775090410115677"/>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COVID-19,</a:t>
            </a:r>
            <a:r>
              <a:rPr lang="ka-GE" sz="1200"/>
              <a:t> საქართველო -</a:t>
            </a:r>
            <a:r>
              <a:rPr lang="ka-GE" sz="1200" baseline="0"/>
              <a:t> 2020</a:t>
            </a:r>
            <a:r>
              <a:rPr lang="en-US" sz="1200" baseline="0"/>
              <a:t> </a:t>
            </a:r>
            <a:endParaRPr lang="en-US" sz="1200"/>
          </a:p>
        </c:rich>
      </c:tx>
      <c:layout>
        <c:manualLayout>
          <c:xMode val="edge"/>
          <c:yMode val="edge"/>
          <c:x val="0.37011406632022237"/>
          <c:y val="4.240282685512367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დადასტურებული შემთხვევები</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Sheet2!$A$2:$A$30</c:f>
              <c:strCache>
                <c:ptCount val="29"/>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strCache>
            </c:strRef>
          </c:cat>
          <c:val>
            <c:numRef>
              <c:f>Sheet2!$C$2:$C$30</c:f>
              <c:numCache>
                <c:formatCode>General</c:formatCode>
                <c:ptCount val="29"/>
                <c:pt idx="0">
                  <c:v>0</c:v>
                </c:pt>
                <c:pt idx="1">
                  <c:v>1</c:v>
                </c:pt>
                <c:pt idx="2">
                  <c:v>2</c:v>
                </c:pt>
                <c:pt idx="3">
                  <c:v>3</c:v>
                </c:pt>
                <c:pt idx="4">
                  <c:v>3</c:v>
                </c:pt>
                <c:pt idx="5">
                  <c:v>3</c:v>
                </c:pt>
                <c:pt idx="6">
                  <c:v>3</c:v>
                </c:pt>
                <c:pt idx="7">
                  <c:v>3</c:v>
                </c:pt>
                <c:pt idx="8">
                  <c:v>4</c:v>
                </c:pt>
                <c:pt idx="9">
                  <c:v>10</c:v>
                </c:pt>
                <c:pt idx="10">
                  <c:v>13</c:v>
                </c:pt>
                <c:pt idx="11">
                  <c:v>14</c:v>
                </c:pt>
                <c:pt idx="12">
                  <c:v>16</c:v>
                </c:pt>
                <c:pt idx="13">
                  <c:v>16</c:v>
                </c:pt>
                <c:pt idx="14">
                  <c:v>22</c:v>
                </c:pt>
                <c:pt idx="15">
                  <c:v>24</c:v>
                </c:pt>
                <c:pt idx="16">
                  <c:v>25</c:v>
                </c:pt>
                <c:pt idx="17">
                  <c:v>30</c:v>
                </c:pt>
                <c:pt idx="18">
                  <c:v>33</c:v>
                </c:pt>
                <c:pt idx="19">
                  <c:v>33</c:v>
                </c:pt>
                <c:pt idx="20">
                  <c:v>34</c:v>
                </c:pt>
                <c:pt idx="21">
                  <c:v>38</c:v>
                </c:pt>
                <c:pt idx="22">
                  <c:v>40</c:v>
                </c:pt>
                <c:pt idx="23">
                  <c:v>43</c:v>
                </c:pt>
                <c:pt idx="24">
                  <c:v>44</c:v>
                </c:pt>
                <c:pt idx="25">
                  <c:v>49</c:v>
                </c:pt>
                <c:pt idx="26">
                  <c:v>54</c:v>
                </c:pt>
                <c:pt idx="27">
                  <c:v>66</c:v>
                </c:pt>
                <c:pt idx="28">
                  <c:v>73</c:v>
                </c:pt>
              </c:numCache>
            </c:numRef>
          </c:val>
        </c:ser>
        <c:dLbls>
          <c:showLegendKey val="0"/>
          <c:showVal val="0"/>
          <c:showCatName val="0"/>
          <c:showSerName val="0"/>
          <c:showPercent val="0"/>
          <c:showBubbleSize val="0"/>
        </c:dLbls>
        <c:gapWidth val="219"/>
        <c:overlap val="-27"/>
        <c:axId val="-848447776"/>
        <c:axId val="-848459744"/>
      </c:barChart>
      <c:lineChart>
        <c:grouping val="stacked"/>
        <c:varyColors val="0"/>
        <c:ser>
          <c:idx val="0"/>
          <c:order val="0"/>
          <c:tx>
            <c:v>შესაძლო შემთხვევები</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91798570106E-2"/>
                  <c:y val="-3.650574432753416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26"/>
              <c:layout>
                <c:manualLayout>
                  <c:x val="-4.2446618093691643E-2"/>
                  <c:y val="-4.17045460230427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4.4204970127398838E-2"/>
                  <c:y val="-3.408031457458889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Sheet2!$A$2:$A$30</c:f>
              <c:strCache>
                <c:ptCount val="29"/>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strCache>
            </c:strRef>
          </c:cat>
          <c:val>
            <c:numRef>
              <c:f>Sheet2!$B$2:$B$30</c:f>
              <c:numCache>
                <c:formatCode>General</c:formatCode>
                <c:ptCount val="29"/>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730</c:v>
                </c:pt>
                <c:pt idx="19">
                  <c:v>766</c:v>
                </c:pt>
                <c:pt idx="20">
                  <c:v>826</c:v>
                </c:pt>
                <c:pt idx="21">
                  <c:v>909</c:v>
                </c:pt>
                <c:pt idx="22">
                  <c:v>992</c:v>
                </c:pt>
                <c:pt idx="23">
                  <c:v>1073</c:v>
                </c:pt>
                <c:pt idx="24">
                  <c:v>1157</c:v>
                </c:pt>
                <c:pt idx="25">
                  <c:v>1221</c:v>
                </c:pt>
                <c:pt idx="26">
                  <c:v>1266</c:v>
                </c:pt>
                <c:pt idx="27">
                  <c:v>1402</c:v>
                </c:pt>
                <c:pt idx="28">
                  <c:v>1523</c:v>
                </c:pt>
              </c:numCache>
            </c:numRef>
          </c:val>
          <c:smooth val="0"/>
        </c:ser>
        <c:dLbls>
          <c:showLegendKey val="0"/>
          <c:showVal val="0"/>
          <c:showCatName val="0"/>
          <c:showSerName val="0"/>
          <c:showPercent val="0"/>
          <c:showBubbleSize val="0"/>
        </c:dLbls>
        <c:marker val="1"/>
        <c:smooth val="0"/>
        <c:axId val="-848460288"/>
        <c:axId val="-848456480"/>
      </c:lineChart>
      <c:catAx>
        <c:axId val="-8484602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48456480"/>
        <c:crosses val="autoZero"/>
        <c:auto val="0"/>
        <c:lblAlgn val="ctr"/>
        <c:lblOffset val="100"/>
        <c:noMultiLvlLbl val="0"/>
      </c:catAx>
      <c:valAx>
        <c:axId val="-848456480"/>
        <c:scaling>
          <c:orientation val="minMax"/>
          <c:max val="16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48460288"/>
        <c:crosses val="autoZero"/>
        <c:crossBetween val="between"/>
        <c:majorUnit val="150"/>
      </c:valAx>
      <c:valAx>
        <c:axId val="-848459744"/>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48447776"/>
        <c:crosses val="max"/>
        <c:crossBetween val="between"/>
      </c:valAx>
      <c:catAx>
        <c:axId val="-848447776"/>
        <c:scaling>
          <c:orientation val="minMax"/>
        </c:scaling>
        <c:delete val="1"/>
        <c:axPos val="b"/>
        <c:numFmt formatCode="General" sourceLinked="1"/>
        <c:majorTickMark val="out"/>
        <c:minorTickMark val="none"/>
        <c:tickLblPos val="nextTo"/>
        <c:crossAx val="-848459744"/>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31468372741468054"/>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8516746412E-2"/>
                  <c:y val="-5.12792204282141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2822966507177032E-2"/>
                  <c:y val="-5.54398195544883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2456140350877192E-2"/>
                  <c:y val="-5.96004186807625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4051036682615632E-2"/>
                  <c:y val="-7.20822160595850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2456140350877192E-2"/>
                  <c:y val="-7.20822160595850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0861244019138758E-2"/>
                  <c:y val="-7.20822160595850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6076555023923443E-2"/>
                  <c:y val="-8.45640134384075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4481658692185065E-2"/>
                  <c:y val="-7.20822160595850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6076555023923505E-2"/>
                  <c:y val="-8.04034143121333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6076555023923505E-2"/>
                  <c:y val="-7.208221605958502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6076555023923443E-2"/>
                  <c:y val="-9.2885211690956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2886762360446568E-2"/>
                  <c:y val="-9.70458108172301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810207336523126E-2"/>
                  <c:y val="-8.45640134384075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9696969696969815E-2"/>
                  <c:y val="-9.28852116909559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102073365231378E-2"/>
                  <c:y val="-8.04034143121333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3.1291866028708135E-2"/>
                  <c:y val="-0.1012064099435043"/>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1291866028708253E-2"/>
                  <c:y val="-8.87246125646817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5709728867623603E-2"/>
                  <c:y val="-9.7045810817230127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3.9266347687400317E-2"/>
                  <c:y val="-6.79216169333108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4.7304625199362044E-2"/>
                  <c:y val="-8.45640134384076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4.2519936204146846E-2"/>
                  <c:y val="-9.70458108172301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4.0925039872408295E-2"/>
                  <c:y val="-0.10952760819605271"/>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4.0925039872408413E-2"/>
                  <c:y val="-8.87246125646817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4.4114832535885287E-2"/>
                  <c:y val="-8.456401343840759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3.7735247208931538E-2"/>
                  <c:y val="-6.37610178070366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2.7016915947707495E-2"/>
                  <c:y val="-5.960041868076246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Sheet2!$D$37:$D$62</c:f>
              <c:strCache>
                <c:ptCount val="26"/>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pt idx="13">
                  <c:v>12 მარტი</c:v>
                </c:pt>
                <c:pt idx="14">
                  <c:v>13 მარტი</c:v>
                </c:pt>
                <c:pt idx="15">
                  <c:v>14 მარტი</c:v>
                </c:pt>
                <c:pt idx="16">
                  <c:v>15 მარტი</c:v>
                </c:pt>
                <c:pt idx="17">
                  <c:v>16 მარტი</c:v>
                </c:pt>
                <c:pt idx="18">
                  <c:v>17 მარტი</c:v>
                </c:pt>
                <c:pt idx="19">
                  <c:v>18 მარტი</c:v>
                </c:pt>
                <c:pt idx="20">
                  <c:v>19 მარტი</c:v>
                </c:pt>
                <c:pt idx="21">
                  <c:v>20 მარტი</c:v>
                </c:pt>
                <c:pt idx="22">
                  <c:v>21 მარტი</c:v>
                </c:pt>
                <c:pt idx="23">
                  <c:v>22 მარტი</c:v>
                </c:pt>
                <c:pt idx="24">
                  <c:v>23 მარტი</c:v>
                </c:pt>
                <c:pt idx="25">
                  <c:v>24 მარტი</c:v>
                </c:pt>
              </c:strCache>
            </c:strRef>
          </c:cat>
          <c:val>
            <c:numRef>
              <c:f>Sheet2!$E$37:$E$62</c:f>
              <c:numCache>
                <c:formatCode>General</c:formatCode>
                <c:ptCount val="26"/>
                <c:pt idx="0">
                  <c:v>91</c:v>
                </c:pt>
                <c:pt idx="1">
                  <c:v>94</c:v>
                </c:pt>
                <c:pt idx="2">
                  <c:v>117</c:v>
                </c:pt>
                <c:pt idx="3">
                  <c:v>128</c:v>
                </c:pt>
                <c:pt idx="4">
                  <c:v>140</c:v>
                </c:pt>
                <c:pt idx="5">
                  <c:v>144</c:v>
                </c:pt>
                <c:pt idx="6">
                  <c:v>174</c:v>
                </c:pt>
                <c:pt idx="7">
                  <c:v>134</c:v>
                </c:pt>
                <c:pt idx="8">
                  <c:v>141</c:v>
                </c:pt>
                <c:pt idx="9">
                  <c:v>127</c:v>
                </c:pt>
                <c:pt idx="10">
                  <c:v>178</c:v>
                </c:pt>
                <c:pt idx="11">
                  <c:v>317</c:v>
                </c:pt>
                <c:pt idx="12">
                  <c:v>313</c:v>
                </c:pt>
                <c:pt idx="13">
                  <c:v>315</c:v>
                </c:pt>
                <c:pt idx="14">
                  <c:v>314</c:v>
                </c:pt>
                <c:pt idx="15">
                  <c:v>439</c:v>
                </c:pt>
                <c:pt idx="16">
                  <c:v>637</c:v>
                </c:pt>
                <c:pt idx="17">
                  <c:v>1008</c:v>
                </c:pt>
                <c:pt idx="18">
                  <c:v>986</c:v>
                </c:pt>
                <c:pt idx="19">
                  <c:v>1344</c:v>
                </c:pt>
                <c:pt idx="20">
                  <c:v>1575</c:v>
                </c:pt>
                <c:pt idx="21">
                  <c:v>1966</c:v>
                </c:pt>
                <c:pt idx="22">
                  <c:v>2712</c:v>
                </c:pt>
                <c:pt idx="23">
                  <c:v>3254</c:v>
                </c:pt>
                <c:pt idx="24">
                  <c:v>3222</c:v>
                </c:pt>
                <c:pt idx="25">
                  <c:v>4055</c:v>
                </c:pt>
              </c:numCache>
            </c:numRef>
          </c:val>
          <c:smooth val="0"/>
        </c:ser>
        <c:dLbls>
          <c:showLegendKey val="0"/>
          <c:showVal val="0"/>
          <c:showCatName val="0"/>
          <c:showSerName val="0"/>
          <c:showPercent val="0"/>
          <c:showBubbleSize val="0"/>
        </c:dLbls>
        <c:smooth val="0"/>
        <c:axId val="-848458656"/>
        <c:axId val="-848447232"/>
      </c:lineChart>
      <c:catAx>
        <c:axId val="-84845865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848447232"/>
        <c:crosses val="autoZero"/>
        <c:auto val="1"/>
        <c:lblAlgn val="ctr"/>
        <c:lblOffset val="555"/>
        <c:noMultiLvlLbl val="0"/>
      </c:catAx>
      <c:valAx>
        <c:axId val="-848447232"/>
        <c:scaling>
          <c:orientation val="minMax"/>
          <c:max val="4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848458656"/>
        <c:crosses val="autoZero"/>
        <c:crossBetween val="between"/>
        <c:majorUnit val="4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25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Sheet2!$E$63</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Sheet2!$D$64:$D$71</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Sheet2!$E$64:$E$71</c:f>
              <c:numCache>
                <c:formatCode>General</c:formatCode>
                <c:ptCount val="8"/>
                <c:pt idx="0">
                  <c:v>6</c:v>
                </c:pt>
                <c:pt idx="1">
                  <c:v>7</c:v>
                </c:pt>
                <c:pt idx="2">
                  <c:v>5</c:v>
                </c:pt>
                <c:pt idx="3">
                  <c:v>7</c:v>
                </c:pt>
                <c:pt idx="4">
                  <c:v>5</c:v>
                </c:pt>
                <c:pt idx="5">
                  <c:v>19</c:v>
                </c:pt>
                <c:pt idx="6">
                  <c:v>12</c:v>
                </c:pt>
                <c:pt idx="7">
                  <c:v>61</c:v>
                </c:pt>
              </c:numCache>
            </c:numRef>
          </c:val>
        </c:ser>
        <c:ser>
          <c:idx val="1"/>
          <c:order val="1"/>
          <c:tx>
            <c:strRef>
              <c:f>Sheet2!$F$63</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Sheet2!$D$64:$D$71</c:f>
              <c:strCache>
                <c:ptCount val="8"/>
                <c:pt idx="0">
                  <c:v>თბილისის ინფექციური </c:v>
                </c:pt>
                <c:pt idx="1">
                  <c:v>ქუთაისი (11 კლინიკა)</c:v>
                </c:pt>
                <c:pt idx="2">
                  <c:v>ბათუმის ინფექციური </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საერთო რაოდენობა</c:v>
                </c:pt>
              </c:strCache>
            </c:strRef>
          </c:cat>
          <c:val>
            <c:numRef>
              <c:f>Sheet2!$F$64:$F$71</c:f>
              <c:numCache>
                <c:formatCode>General</c:formatCode>
                <c:ptCount val="8"/>
                <c:pt idx="0">
                  <c:v>47</c:v>
                </c:pt>
                <c:pt idx="1">
                  <c:v>27</c:v>
                </c:pt>
                <c:pt idx="2">
                  <c:v>10</c:v>
                </c:pt>
                <c:pt idx="3">
                  <c:v>16</c:v>
                </c:pt>
                <c:pt idx="4">
                  <c:v>50</c:v>
                </c:pt>
                <c:pt idx="5">
                  <c:v>47</c:v>
                </c:pt>
                <c:pt idx="6">
                  <c:v>51</c:v>
                </c:pt>
                <c:pt idx="7">
                  <c:v>248</c:v>
                </c:pt>
              </c:numCache>
            </c:numRef>
          </c:val>
        </c:ser>
        <c:dLbls>
          <c:showLegendKey val="0"/>
          <c:showVal val="0"/>
          <c:showCatName val="0"/>
          <c:showSerName val="0"/>
          <c:showPercent val="0"/>
          <c:showBubbleSize val="0"/>
        </c:dLbls>
        <c:gapWidth val="182"/>
        <c:axId val="-848460832"/>
        <c:axId val="-848451584"/>
      </c:barChart>
      <c:catAx>
        <c:axId val="-84846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848451584"/>
        <c:crosses val="autoZero"/>
        <c:auto val="1"/>
        <c:lblAlgn val="ctr"/>
        <c:lblOffset val="100"/>
        <c:noMultiLvlLbl val="0"/>
      </c:catAx>
      <c:valAx>
        <c:axId val="-848451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6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Sheet1!$B$3:$B$15</c:f>
              <c:strCache>
                <c:ptCount val="13"/>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strCache>
            </c:strRef>
          </c:cat>
          <c:val>
            <c:numRef>
              <c:f>Sheet1!$C$3:$C$15</c:f>
              <c:numCache>
                <c:formatCode>General</c:formatCode>
                <c:ptCount val="13"/>
                <c:pt idx="0">
                  <c:v>1102</c:v>
                </c:pt>
                <c:pt idx="1">
                  <c:v>1257</c:v>
                </c:pt>
                <c:pt idx="2">
                  <c:v>1302</c:v>
                </c:pt>
                <c:pt idx="3">
                  <c:v>1053</c:v>
                </c:pt>
                <c:pt idx="4">
                  <c:v>940</c:v>
                </c:pt>
                <c:pt idx="5">
                  <c:v>1394</c:v>
                </c:pt>
                <c:pt idx="6">
                  <c:v>1446</c:v>
                </c:pt>
                <c:pt idx="7">
                  <c:v>1781</c:v>
                </c:pt>
                <c:pt idx="8">
                  <c:v>2693</c:v>
                </c:pt>
                <c:pt idx="9">
                  <c:v>3136</c:v>
                </c:pt>
                <c:pt idx="10">
                  <c:v>3254</c:v>
                </c:pt>
                <c:pt idx="11">
                  <c:v>3059</c:v>
                </c:pt>
                <c:pt idx="12">
                  <c:v>4415</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Sheet1!$B$3:$B$15</c:f>
              <c:strCache>
                <c:ptCount val="13"/>
                <c:pt idx="0">
                  <c:v>11 მარტი</c:v>
                </c:pt>
                <c:pt idx="1">
                  <c:v>12 მარტი</c:v>
                </c:pt>
                <c:pt idx="2">
                  <c:v>13 მარტი</c:v>
                </c:pt>
                <c:pt idx="3">
                  <c:v>15 მარტი</c:v>
                </c:pt>
                <c:pt idx="4">
                  <c:v>16 მარტი</c:v>
                </c:pt>
                <c:pt idx="5">
                  <c:v>17 მარტი</c:v>
                </c:pt>
                <c:pt idx="6">
                  <c:v>18 მარტი</c:v>
                </c:pt>
                <c:pt idx="7">
                  <c:v>19 მარტი</c:v>
                </c:pt>
                <c:pt idx="8">
                  <c:v>20 მარტი</c:v>
                </c:pt>
                <c:pt idx="9">
                  <c:v>21 მარტი</c:v>
                </c:pt>
                <c:pt idx="10">
                  <c:v>22 მარტი</c:v>
                </c:pt>
                <c:pt idx="11">
                  <c:v>23 მარტი</c:v>
                </c:pt>
                <c:pt idx="12">
                  <c:v>24 მარტი</c:v>
                </c:pt>
              </c:strCache>
            </c:strRef>
          </c:cat>
          <c:val>
            <c:numRef>
              <c:f>Sheet1!$D$3:$D$15</c:f>
              <c:numCache>
                <c:formatCode>General</c:formatCode>
                <c:ptCount val="13"/>
                <c:pt idx="0">
                  <c:v>52</c:v>
                </c:pt>
                <c:pt idx="1">
                  <c:v>311</c:v>
                </c:pt>
                <c:pt idx="2">
                  <c:v>305</c:v>
                </c:pt>
                <c:pt idx="3">
                  <c:v>283</c:v>
                </c:pt>
                <c:pt idx="4">
                  <c:v>216</c:v>
                </c:pt>
                <c:pt idx="5">
                  <c:v>160</c:v>
                </c:pt>
                <c:pt idx="6">
                  <c:v>197</c:v>
                </c:pt>
                <c:pt idx="7">
                  <c:v>191</c:v>
                </c:pt>
                <c:pt idx="8">
                  <c:v>199</c:v>
                </c:pt>
                <c:pt idx="9">
                  <c:v>271</c:v>
                </c:pt>
                <c:pt idx="10">
                  <c:v>222</c:v>
                </c:pt>
                <c:pt idx="11">
                  <c:v>275</c:v>
                </c:pt>
                <c:pt idx="12">
                  <c:v>357</c:v>
                </c:pt>
              </c:numCache>
            </c:numRef>
          </c:val>
        </c:ser>
        <c:dLbls>
          <c:showLegendKey val="0"/>
          <c:showVal val="0"/>
          <c:showCatName val="0"/>
          <c:showSerName val="0"/>
          <c:showPercent val="0"/>
          <c:showBubbleSize val="0"/>
        </c:dLbls>
        <c:gapWidth val="150"/>
        <c:axId val="-848451040"/>
        <c:axId val="-848449952"/>
      </c:barChart>
      <c:catAx>
        <c:axId val="-84845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49952"/>
        <c:crosses val="autoZero"/>
        <c:auto val="1"/>
        <c:lblAlgn val="ctr"/>
        <c:lblOffset val="100"/>
        <c:noMultiLvlLbl val="0"/>
      </c:catAx>
      <c:valAx>
        <c:axId val="-84844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45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56B1-AEF3-41B4-8A31-1815DFAE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20</cp:revision>
  <cp:lastPrinted>2020-03-13T13:34:00Z</cp:lastPrinted>
  <dcterms:created xsi:type="dcterms:W3CDTF">2020-03-24T21:47:00Z</dcterms:created>
  <dcterms:modified xsi:type="dcterms:W3CDTF">2020-03-25T06:18:00Z</dcterms:modified>
</cp:coreProperties>
</file>